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E42F6B"/>
    <w:p w:rsidR="00E42F6B"/>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5"/>
        <w:gridCol w:w="4678"/>
        <w:gridCol w:w="2552"/>
      </w:tblGrid>
      <w:tr w:rsidTr="00E42F6B">
        <w:tblPrEx>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jc w:val="center"/>
        </w:trPr>
        <w:tc>
          <w:tcPr>
            <w:tcW w:w="2835" w:type="dxa"/>
            <w:shd w:val="clear" w:color="auto" w:fill="BFBFBF"/>
            <w:vAlign w:val="center"/>
          </w:tcPr>
          <w:p w:rsidR="00284E95" w:rsidRPr="00D4431F" w:rsidP="00E42F6B">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rsidR="00284E95" w:rsidP="00E42F6B">
            <w:pPr>
              <w:spacing w:line="240" w:lineRule="auto"/>
              <w:jc w:val="center"/>
              <w:rPr>
                <w:rFonts w:cstheme="minorHAnsi"/>
                <w:b/>
                <w:bCs/>
              </w:rPr>
            </w:pPr>
            <w:r>
              <w:rPr>
                <w:rFonts w:cstheme="minorHAnsi"/>
                <w:b/>
                <w:bCs/>
              </w:rPr>
              <w:t>Meeting</w:t>
            </w:r>
          </w:p>
        </w:tc>
        <w:tc>
          <w:tcPr>
            <w:tcW w:w="2552" w:type="dxa"/>
            <w:shd w:val="clear" w:color="auto" w:fill="BFBFBF"/>
            <w:vAlign w:val="center"/>
          </w:tcPr>
          <w:p w:rsidR="00284E95" w:rsidRPr="00D4431F" w:rsidP="00E42F6B">
            <w:pPr>
              <w:spacing w:line="240" w:lineRule="auto"/>
              <w:jc w:val="center"/>
              <w:rPr>
                <w:rFonts w:cstheme="minorHAnsi"/>
                <w:b/>
                <w:bCs/>
              </w:rPr>
            </w:pPr>
            <w:r>
              <w:rPr>
                <w:rFonts w:cstheme="minorHAnsi"/>
                <w:b/>
                <w:bCs/>
              </w:rPr>
              <w:t>Date</w:t>
            </w:r>
          </w:p>
        </w:tc>
      </w:tr>
      <w:tr w:rsidTr="00E42F6B">
        <w:tblPrEx>
          <w:tblW w:w="10065" w:type="dxa"/>
          <w:jc w:val="center"/>
          <w:tblLook w:val="0000"/>
        </w:tblPrEx>
        <w:trPr>
          <w:cantSplit/>
          <w:trHeight w:val="942"/>
          <w:jc w:val="center"/>
        </w:trPr>
        <w:tc>
          <w:tcPr>
            <w:tcW w:w="2835" w:type="dxa"/>
            <w:vAlign w:val="center"/>
          </w:tcPr>
          <w:p w:rsidR="00284E95" w:rsidRPr="00ED4FF1" w:rsidP="00E42F6B">
            <w:pPr>
              <w:spacing w:after="0"/>
              <w:jc w:val="center"/>
            </w:pPr>
            <w:r>
              <w:fldChar w:fldCharType="begin"/>
            </w:r>
            <w:r>
              <w:instrText xml:space="preserve"> DOCPROPERTY  LeadDirector  \* MERGEFORMAT </w:instrText>
            </w:r>
            <w:r>
              <w:fldChar w:fldCharType="separate"/>
            </w:r>
            <w:r w:rsidRPr="00ED4FF1" w:rsidR="0096066B">
              <w:t>Director of Finance and Section 151 Officer</w:t>
            </w:r>
            <w:r w:rsidRPr="00ED4FF1" w:rsidR="0096066B">
              <w:fldChar w:fldCharType="end"/>
            </w:r>
          </w:p>
          <w:p w:rsidR="00284E95" w:rsidRPr="00ED4FF1" w:rsidP="00E42F6B">
            <w:pPr>
              <w:jc w:val="center"/>
            </w:pPr>
            <w:r w:rsidRPr="00ED4FF1">
              <w:t xml:space="preserve">(Introduced by </w:t>
            </w:r>
            <w:r>
              <w:fldChar w:fldCharType="begin"/>
            </w:r>
            <w:r>
              <w:instrText xml:space="preserve"> DOCPROPERTY  LeadMember  \* MERGEFORMAT </w:instrText>
            </w:r>
            <w:r>
              <w:fldChar w:fldCharType="separate"/>
            </w:r>
            <w:r w:rsidRPr="00ED4FF1">
              <w:t>Cabinet Member (Finance, Property and Assets)</w:t>
            </w:r>
            <w:r w:rsidRPr="00ED4FF1">
              <w:fldChar w:fldCharType="end"/>
            </w:r>
            <w:r w:rsidRPr="00ED4FF1">
              <w:t>)</w:t>
            </w:r>
          </w:p>
        </w:tc>
        <w:tc>
          <w:tcPr>
            <w:tcW w:w="4678" w:type="dxa"/>
            <w:vAlign w:val="center"/>
          </w:tcPr>
          <w:p w:rsidR="00284E95" w:rsidRPr="00ED4FF1" w:rsidP="00E42F6B">
            <w:pPr>
              <w:spacing w:line="240" w:lineRule="auto"/>
              <w:jc w:val="center"/>
              <w:rPr>
                <w:rFonts w:cstheme="minorHAnsi"/>
              </w:rPr>
            </w:pPr>
            <w:r>
              <w:rPr>
                <w:rFonts w:cstheme="minorHAnsi"/>
              </w:rPr>
              <w:t>Cabinet</w:t>
            </w:r>
          </w:p>
        </w:tc>
        <w:tc>
          <w:tcPr>
            <w:tcW w:w="2552" w:type="dxa"/>
            <w:vAlign w:val="center"/>
          </w:tcPr>
          <w:p w:rsidR="00284E95" w:rsidRPr="00ED4FF1" w:rsidP="00E42F6B">
            <w:pPr>
              <w:spacing w:line="240" w:lineRule="auto"/>
              <w:jc w:val="center"/>
              <w:rPr>
                <w:rFonts w:cstheme="minorHAnsi"/>
              </w:rPr>
            </w:pPr>
            <w:r>
              <w:rPr>
                <w:rFonts w:cstheme="minorHAnsi"/>
              </w:rPr>
              <w:t>15</w:t>
            </w:r>
            <w:r w:rsidRPr="00756FF4">
              <w:rPr>
                <w:rFonts w:cstheme="minorHAnsi"/>
                <w:vertAlign w:val="superscript"/>
              </w:rPr>
              <w:t>th</w:t>
            </w:r>
            <w:r>
              <w:rPr>
                <w:rFonts w:cstheme="minorHAnsi"/>
              </w:rPr>
              <w:t xml:space="preserve"> September 2021</w:t>
            </w:r>
          </w:p>
        </w:tc>
      </w:tr>
    </w:tbl>
    <w:p w:rsidR="00E42F6B" w:rsidP="002A4A7D">
      <w:pPr>
        <w:spacing w:after="0"/>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2"/>
        <w:gridCol w:w="4683"/>
      </w:tblGrid>
      <w:tr w:rsidTr="00D96DE5">
        <w:tblPrEx>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5382" w:type="dxa"/>
            <w:shd w:val="clear" w:color="auto" w:fill="auto"/>
          </w:tcPr>
          <w:p w:rsidR="00E42F6B" w:rsidRPr="00D1305C" w:rsidP="00D96DE5">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rsidR="00E42F6B" w:rsidRPr="00E42F6B" w:rsidP="00D96DE5">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tc>
      </w:tr>
    </w:tbl>
    <w:p w:rsidR="00E42F6B" w:rsidP="002A4A7D">
      <w:pPr>
        <w:spacing w:after="0"/>
      </w:pP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2"/>
        <w:gridCol w:w="4687"/>
      </w:tblGrid>
      <w:tr w:rsidTr="00D96DE5">
        <w:tblPrEx>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5382" w:type="dxa"/>
            <w:shd w:val="clear" w:color="auto" w:fill="auto"/>
          </w:tcPr>
          <w:p w:rsidR="00E42F6B" w:rsidRPr="00D1305C" w:rsidP="00D96DE5">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rsidR="00E42F6B" w:rsidRPr="00284E95" w:rsidP="00D96DE5">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Yes</w:t>
            </w:r>
          </w:p>
        </w:tc>
      </w:tr>
    </w:tbl>
    <w:p w:rsidR="00CF42B2" w:rsidP="002A4A7D">
      <w:pPr>
        <w:spacing w:after="0"/>
      </w:pPr>
      <w:r>
        <w:rPr>
          <w:rFonts w:cstheme="minorHAnsi"/>
          <w:b/>
          <w:bCs/>
          <w:noProof/>
        </w:rPr>
        <w:drawing>
          <wp:anchor distT="0" distB="0" distL="114300" distR="114300" simplePos="0" relativeHeight="251658240" behindDoc="0" locked="0" layoutInCell="1" allowOverlap="1">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367925" name="logo.pn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070" w:type="dxa"/>
        <w:jc w:val="center"/>
        <w:tblLook w:val="04A0"/>
      </w:tblPr>
      <w:tblGrid>
        <w:gridCol w:w="5392"/>
        <w:gridCol w:w="4678"/>
      </w:tblGrid>
      <w:tr w:rsidTr="00E42F6B">
        <w:tblPrEx>
          <w:tblW w:w="10070" w:type="dxa"/>
          <w:jc w:val="center"/>
          <w:tblLook w:val="04A0"/>
        </w:tblPrEx>
        <w:trPr>
          <w:jc w:val="center"/>
        </w:trPr>
        <w:tc>
          <w:tcPr>
            <w:tcW w:w="5392" w:type="dxa"/>
            <w:vAlign w:val="center"/>
          </w:tcPr>
          <w:p w:rsidR="00284E95" w:rsidRPr="00E42F6B" w:rsidP="00E42F6B">
            <w:pPr>
              <w:spacing w:before="120" w:after="120"/>
              <w:rPr>
                <w:b/>
              </w:rPr>
            </w:pPr>
            <w:r w:rsidRPr="00E42F6B">
              <w:rPr>
                <w:rFonts w:eastAsia="Times New Roman" w:cstheme="minorHAnsi"/>
                <w:b/>
                <w:bCs/>
                <w:color w:val="000000" w:themeColor="text1"/>
                <w:kern w:val="36"/>
                <w:lang w:eastAsia="en-GB"/>
              </w:rPr>
              <w:t>Savings or expenditure amounting to greater than £100,000</w:t>
            </w:r>
          </w:p>
        </w:tc>
        <w:tc>
          <w:tcPr>
            <w:tcW w:w="4678" w:type="dxa"/>
            <w:vAlign w:val="center"/>
          </w:tcPr>
          <w:p w:rsidR="00284E95" w:rsidRPr="00E42F6B" w:rsidP="00E42F6B">
            <w:pPr>
              <w:spacing w:before="120" w:after="120"/>
              <w:rPr>
                <w:b/>
              </w:rPr>
            </w:pPr>
            <w:r w:rsidRPr="00E42F6B">
              <w:rPr>
                <w:rFonts w:eastAsia="Times New Roman" w:cstheme="minorHAnsi"/>
                <w:b/>
                <w:bCs/>
                <w:color w:val="000000" w:themeColor="text1"/>
                <w:kern w:val="36"/>
                <w:lang w:eastAsia="en-GB"/>
              </w:rPr>
              <w:t>Significant impact on 2 or more council wards</w:t>
            </w:r>
          </w:p>
        </w:tc>
      </w:tr>
    </w:tbl>
    <w:p w:rsidR="00284E95" w:rsidP="00E42F6B"/>
    <w:p w:rsidR="000179AF" w:rsidRPr="00883AC9" w:rsidP="002A4A7D">
      <w:pPr>
        <w:pStyle w:val="Heading1"/>
        <w:spacing w:before="0" w:beforeAutospacing="0"/>
        <w:rPr>
          <w:rFonts w:asciiTheme="majorHAnsi" w:hAnsiTheme="majorHAnsi" w:cstheme="majorHAnsi"/>
          <w:sz w:val="24"/>
          <w:szCs w:val="24"/>
        </w:rPr>
      </w:pPr>
      <w:r w:rsidRPr="002F2CFD">
        <w:rPr>
          <w:rFonts w:asciiTheme="majorHAnsi" w:hAnsiTheme="majorHAnsi" w:cstheme="majorHAnsi"/>
          <w:sz w:val="28"/>
          <w:szCs w:val="28"/>
        </w:rPr>
        <w:t xml:space="preserve">2021/22 Corporate Capital Programme and Balance Sheet Monitoring Report </w:t>
      </w:r>
      <w:r w:rsidR="00CE79C0">
        <w:rPr>
          <w:rFonts w:asciiTheme="majorHAnsi" w:hAnsiTheme="majorHAnsi" w:cstheme="majorHAnsi"/>
          <w:sz w:val="28"/>
          <w:szCs w:val="28"/>
        </w:rPr>
        <w:t xml:space="preserve">– </w:t>
      </w:r>
      <w:r w:rsidRPr="002F2CFD">
        <w:rPr>
          <w:rFonts w:asciiTheme="majorHAnsi" w:hAnsiTheme="majorHAnsi" w:cstheme="majorHAnsi"/>
          <w:sz w:val="28"/>
          <w:szCs w:val="28"/>
        </w:rPr>
        <w:t>p</w:t>
      </w:r>
      <w:bookmarkStart w:id="1" w:name="_GoBack"/>
      <w:bookmarkEnd w:id="1"/>
      <w:r w:rsidRPr="002F2CFD">
        <w:rPr>
          <w:rFonts w:asciiTheme="majorHAnsi" w:hAnsiTheme="majorHAnsi" w:cstheme="majorHAnsi"/>
          <w:sz w:val="28"/>
          <w:szCs w:val="28"/>
        </w:rPr>
        <w:t>osition as at 31st July 2021</w:t>
      </w:r>
    </w:p>
    <w:p w:rsidR="000179AF" w:rsidRPr="00ED4FF1" w:rsidP="001668A0">
      <w:pPr>
        <w:pStyle w:val="Heading2"/>
        <w:rPr>
          <w:sz w:val="8"/>
        </w:rPr>
      </w:pPr>
      <w:r w:rsidRPr="00ED4FF1">
        <w:t>Purpose of the Report</w:t>
      </w:r>
    </w:p>
    <w:p w:rsidR="000179AF" w:rsidRPr="003E3722" w:rsidP="000179AF">
      <w:pPr>
        <w:numPr>
          <w:ilvl w:val="0"/>
          <w:numId w:val="8"/>
        </w:numPr>
        <w:spacing w:after="0" w:line="240" w:lineRule="auto"/>
        <w:jc w:val="both"/>
        <w:rPr>
          <w:rFonts w:cstheme="minorHAnsi"/>
          <w:bCs/>
          <w:iCs/>
        </w:rPr>
      </w:pPr>
      <w:r w:rsidRPr="001668A0">
        <w:rPr>
          <w:rFonts w:cstheme="minorHAnsi"/>
          <w:bCs/>
          <w:iCs/>
        </w:rPr>
        <w:t xml:space="preserve">This report </w:t>
      </w:r>
      <w:r>
        <w:rPr>
          <w:rFonts w:cstheme="minorHAnsi"/>
          <w:bCs/>
          <w:iCs/>
        </w:rPr>
        <w:t xml:space="preserve">outlines </w:t>
      </w:r>
      <w:r w:rsidRPr="00ED0A43">
        <w:rPr>
          <w:rFonts w:cstheme="minorHAnsi"/>
          <w:bCs/>
          <w:iCs/>
        </w:rPr>
        <w:t>the overall financial position of the Council in respect of the capital programme as at 3</w:t>
      </w:r>
      <w:r>
        <w:rPr>
          <w:rFonts w:cstheme="minorHAnsi"/>
          <w:bCs/>
          <w:iCs/>
        </w:rPr>
        <w:t>1</w:t>
      </w:r>
      <w:r w:rsidRPr="00ED0A43">
        <w:rPr>
          <w:rFonts w:cstheme="minorHAnsi"/>
          <w:bCs/>
          <w:iCs/>
          <w:vertAlign w:val="superscript"/>
        </w:rPr>
        <w:t>st</w:t>
      </w:r>
      <w:r>
        <w:rPr>
          <w:rFonts w:cstheme="minorHAnsi"/>
          <w:bCs/>
          <w:iCs/>
        </w:rPr>
        <w:t xml:space="preserve"> </w:t>
      </w:r>
      <w:r w:rsidRPr="00ED0A43">
        <w:rPr>
          <w:rFonts w:cstheme="minorHAnsi"/>
          <w:bCs/>
          <w:iCs/>
        </w:rPr>
        <w:t>Ju</w:t>
      </w:r>
      <w:r>
        <w:rPr>
          <w:rFonts w:cstheme="minorHAnsi"/>
          <w:bCs/>
          <w:iCs/>
        </w:rPr>
        <w:t>ly</w:t>
      </w:r>
      <w:r w:rsidRPr="00ED0A43">
        <w:rPr>
          <w:rFonts w:cstheme="minorHAnsi"/>
          <w:bCs/>
          <w:iCs/>
        </w:rPr>
        <w:t xml:space="preserve"> 2021, highlighting key issues and explaining key variances over the first </w:t>
      </w:r>
      <w:r>
        <w:rPr>
          <w:rFonts w:cstheme="minorHAnsi"/>
          <w:bCs/>
          <w:iCs/>
        </w:rPr>
        <w:t>4</w:t>
      </w:r>
      <w:r w:rsidRPr="00ED0A43">
        <w:rPr>
          <w:rFonts w:cstheme="minorHAnsi"/>
          <w:bCs/>
          <w:iCs/>
        </w:rPr>
        <w:t xml:space="preserve"> months of the year</w:t>
      </w:r>
      <w:r>
        <w:rPr>
          <w:rFonts w:cstheme="minorHAnsi"/>
          <w:bCs/>
          <w:iCs/>
        </w:rPr>
        <w:t>, and provides an overview of various elements of the Council’s Balance Sheet as at 31</w:t>
      </w:r>
      <w:r w:rsidRPr="00C25EDA">
        <w:rPr>
          <w:rFonts w:cstheme="minorHAnsi"/>
          <w:bCs/>
          <w:iCs/>
          <w:vertAlign w:val="superscript"/>
        </w:rPr>
        <w:t>st</w:t>
      </w:r>
      <w:r>
        <w:rPr>
          <w:rFonts w:cstheme="minorHAnsi"/>
          <w:bCs/>
          <w:iCs/>
        </w:rPr>
        <w:t xml:space="preserve"> July 2021.</w:t>
      </w:r>
    </w:p>
    <w:p w:rsidR="000179AF" w:rsidP="000179AF">
      <w:pPr>
        <w:spacing w:after="0" w:line="240" w:lineRule="auto"/>
        <w:jc w:val="both"/>
        <w:rPr>
          <w:rFonts w:cstheme="minorHAnsi"/>
          <w:bCs/>
        </w:rPr>
      </w:pPr>
    </w:p>
    <w:p w:rsidR="002A4A7D" w:rsidRPr="00ED4FF1" w:rsidP="001668A0">
      <w:pPr>
        <w:pStyle w:val="Heading2"/>
      </w:pPr>
      <w:r w:rsidRPr="00ED4FF1">
        <w:t>Recommendations</w:t>
      </w:r>
      <w:r>
        <w:t xml:space="preserve"> to Cabinet</w:t>
      </w:r>
    </w:p>
    <w:p w:rsidR="00ED0A43" w:rsidP="00570B7D">
      <w:pPr>
        <w:numPr>
          <w:ilvl w:val="0"/>
          <w:numId w:val="8"/>
        </w:numPr>
        <w:spacing w:after="0" w:line="240" w:lineRule="auto"/>
        <w:jc w:val="both"/>
        <w:rPr>
          <w:rFonts w:cstheme="minorHAnsi"/>
          <w:bCs/>
          <w:iCs/>
        </w:rPr>
      </w:pPr>
      <w:r w:rsidRPr="00ED0A43">
        <w:rPr>
          <w:rFonts w:cstheme="minorHAnsi"/>
          <w:bCs/>
          <w:iCs/>
        </w:rPr>
        <w:t xml:space="preserve">To approve the revised capital programme as attached at </w:t>
      </w:r>
      <w:r w:rsidRPr="00C25EDA">
        <w:rPr>
          <w:rFonts w:cstheme="minorHAnsi"/>
          <w:b/>
          <w:bCs/>
          <w:iCs/>
        </w:rPr>
        <w:t>Appendix A</w:t>
      </w:r>
      <w:r w:rsidRPr="00ED0A43">
        <w:rPr>
          <w:rFonts w:cstheme="minorHAnsi"/>
          <w:bCs/>
          <w:iCs/>
        </w:rPr>
        <w:t xml:space="preserve"> which reflects all amendments to the programme </w:t>
      </w:r>
      <w:r>
        <w:rPr>
          <w:rFonts w:cstheme="minorHAnsi"/>
          <w:bCs/>
          <w:iCs/>
        </w:rPr>
        <w:t>that have been approved in the 4 months to 31</w:t>
      </w:r>
      <w:r w:rsidRPr="00217542">
        <w:rPr>
          <w:rFonts w:cstheme="minorHAnsi"/>
          <w:bCs/>
          <w:iCs/>
          <w:vertAlign w:val="superscript"/>
        </w:rPr>
        <w:t>st</w:t>
      </w:r>
      <w:r>
        <w:rPr>
          <w:rFonts w:cstheme="minorHAnsi"/>
          <w:bCs/>
          <w:iCs/>
        </w:rPr>
        <w:t xml:space="preserve"> July 2021,</w:t>
      </w:r>
      <w:r w:rsidRPr="00ED0A43">
        <w:rPr>
          <w:rFonts w:cstheme="minorHAnsi"/>
          <w:bCs/>
          <w:iCs/>
        </w:rPr>
        <w:t xml:space="preserve"> as detailed in </w:t>
      </w:r>
      <w:r>
        <w:rPr>
          <w:rFonts w:cstheme="minorHAnsi"/>
          <w:bCs/>
          <w:iCs/>
        </w:rPr>
        <w:t>paragraph 11.</w:t>
      </w:r>
    </w:p>
    <w:p w:rsidR="00570B7D" w:rsidRPr="00ED0A43" w:rsidP="00570B7D">
      <w:pPr>
        <w:spacing w:after="0" w:line="240" w:lineRule="auto"/>
        <w:ind w:left="360"/>
        <w:jc w:val="both"/>
        <w:rPr>
          <w:rFonts w:cstheme="minorHAnsi"/>
          <w:bCs/>
          <w:iCs/>
        </w:rPr>
      </w:pPr>
    </w:p>
    <w:p w:rsidR="001668A0" w:rsidP="00ED0A43">
      <w:pPr>
        <w:numPr>
          <w:ilvl w:val="0"/>
          <w:numId w:val="8"/>
        </w:numPr>
        <w:spacing w:after="0" w:line="240" w:lineRule="auto"/>
        <w:jc w:val="both"/>
        <w:rPr>
          <w:rFonts w:cstheme="minorHAnsi"/>
          <w:bCs/>
          <w:iCs/>
        </w:rPr>
      </w:pPr>
      <w:r w:rsidRPr="00ED0A43">
        <w:rPr>
          <w:rFonts w:cstheme="minorHAnsi"/>
          <w:bCs/>
          <w:iCs/>
        </w:rPr>
        <w:t>To approve the following variation to the programme</w:t>
      </w:r>
      <w:r>
        <w:rPr>
          <w:rFonts w:cstheme="minorHAnsi"/>
          <w:bCs/>
          <w:iCs/>
        </w:rPr>
        <w:t xml:space="preserve">, which has been included in </w:t>
      </w:r>
      <w:r w:rsidRPr="00C25EDA">
        <w:rPr>
          <w:rFonts w:cstheme="minorHAnsi"/>
          <w:b/>
          <w:bCs/>
          <w:iCs/>
        </w:rPr>
        <w:t>Appendix B</w:t>
      </w:r>
      <w:r>
        <w:rPr>
          <w:rFonts w:cstheme="minorHAnsi"/>
          <w:bCs/>
          <w:iCs/>
        </w:rPr>
        <w:t>.</w:t>
      </w:r>
    </w:p>
    <w:p w:rsidR="00CE3409" w:rsidP="00217542">
      <w:pPr>
        <w:spacing w:after="0" w:line="240" w:lineRule="auto"/>
        <w:ind w:left="360"/>
        <w:jc w:val="both"/>
        <w:rPr>
          <w:rFonts w:cstheme="minorHAnsi"/>
          <w:bCs/>
          <w:iCs/>
        </w:rPr>
      </w:pPr>
    </w:p>
    <w:p w:rsidR="002A4B53" w:rsidP="00570B7D">
      <w:pPr>
        <w:pStyle w:val="ListParagraph"/>
        <w:numPr>
          <w:ilvl w:val="0"/>
          <w:numId w:val="12"/>
        </w:numPr>
        <w:spacing w:after="0" w:line="240" w:lineRule="auto"/>
        <w:jc w:val="both"/>
        <w:rPr>
          <w:rFonts w:cstheme="minorHAnsi"/>
          <w:bCs/>
          <w:iCs/>
        </w:rPr>
      </w:pPr>
      <w:r>
        <w:rPr>
          <w:rFonts w:cstheme="minorHAnsi"/>
          <w:bCs/>
          <w:iCs/>
        </w:rPr>
        <w:t>£130k increase to the vehicle replacement programme</w:t>
      </w:r>
    </w:p>
    <w:p w:rsidR="00C25EDA" w:rsidP="00C25EDA">
      <w:pPr>
        <w:spacing w:after="0" w:line="240" w:lineRule="auto"/>
        <w:ind w:left="360"/>
        <w:jc w:val="both"/>
        <w:rPr>
          <w:rFonts w:cstheme="minorHAnsi"/>
          <w:bCs/>
          <w:iCs/>
        </w:rPr>
      </w:pPr>
    </w:p>
    <w:p w:rsidR="00C25EDA" w:rsidRPr="00C25EDA" w:rsidP="00C25EDA">
      <w:pPr>
        <w:spacing w:after="0" w:line="240" w:lineRule="auto"/>
        <w:ind w:left="360"/>
        <w:jc w:val="both"/>
        <w:rPr>
          <w:rFonts w:cstheme="minorHAnsi"/>
          <w:bCs/>
          <w:iCs/>
        </w:rPr>
      </w:pPr>
      <w:r>
        <w:rPr>
          <w:rFonts w:cstheme="minorHAnsi"/>
          <w:bCs/>
          <w:iCs/>
        </w:rPr>
        <w:t>All other approvals are within existing delegated limits as detailed in paragraph 11.</w:t>
      </w:r>
    </w:p>
    <w:p w:rsidR="002A4A7D" w:rsidP="002A4A7D">
      <w:pPr>
        <w:spacing w:after="0" w:line="240" w:lineRule="auto"/>
        <w:jc w:val="both"/>
        <w:rPr>
          <w:rFonts w:cstheme="minorHAnsi"/>
          <w:bCs/>
          <w:iCs/>
        </w:rPr>
      </w:pPr>
    </w:p>
    <w:p w:rsidR="005E48B7" w:rsidP="005E48B7">
      <w:pPr>
        <w:numPr>
          <w:ilvl w:val="0"/>
          <w:numId w:val="8"/>
        </w:numPr>
        <w:spacing w:after="0" w:line="240" w:lineRule="auto"/>
        <w:jc w:val="both"/>
        <w:rPr>
          <w:rFonts w:cstheme="minorHAnsi"/>
          <w:bCs/>
          <w:iCs/>
        </w:rPr>
      </w:pPr>
      <w:r w:rsidRPr="00ED0A43">
        <w:rPr>
          <w:rFonts w:cstheme="minorHAnsi"/>
          <w:bCs/>
          <w:iCs/>
        </w:rPr>
        <w:t>To</w:t>
      </w:r>
      <w:r>
        <w:rPr>
          <w:rFonts w:cstheme="minorHAnsi"/>
          <w:bCs/>
          <w:iCs/>
        </w:rPr>
        <w:t xml:space="preserve"> note the position in the Balance Sheet Monitoring section of the report in respect of cash, investment and loan balances, and debtors as at 31</w:t>
      </w:r>
      <w:r w:rsidRPr="002A4B53">
        <w:rPr>
          <w:rFonts w:cstheme="minorHAnsi"/>
          <w:bCs/>
          <w:iCs/>
          <w:vertAlign w:val="superscript"/>
        </w:rPr>
        <w:t>st</w:t>
      </w:r>
      <w:r>
        <w:rPr>
          <w:rFonts w:cstheme="minorHAnsi"/>
          <w:bCs/>
          <w:iCs/>
        </w:rPr>
        <w:t xml:space="preserve"> July 2021.</w:t>
      </w:r>
    </w:p>
    <w:p w:rsidR="005E48B7" w:rsidP="002A4A7D">
      <w:pPr>
        <w:spacing w:after="0" w:line="240" w:lineRule="auto"/>
        <w:jc w:val="both"/>
        <w:rPr>
          <w:rFonts w:cstheme="minorHAnsi"/>
          <w:bCs/>
          <w:iCs/>
        </w:rPr>
      </w:pPr>
    </w:p>
    <w:p w:rsidR="001668A0" w:rsidRPr="00ED4FF1" w:rsidP="001668A0">
      <w:pPr>
        <w:pStyle w:val="Heading2"/>
        <w:rPr>
          <w:sz w:val="8"/>
        </w:rPr>
      </w:pPr>
      <w:r>
        <w:t>Reasons for Recommendations</w:t>
      </w:r>
    </w:p>
    <w:p w:rsidR="001668A0" w:rsidRPr="005E48B7" w:rsidP="001668A0">
      <w:pPr>
        <w:numPr>
          <w:ilvl w:val="0"/>
          <w:numId w:val="8"/>
        </w:numPr>
        <w:spacing w:after="0" w:line="240" w:lineRule="auto"/>
        <w:jc w:val="both"/>
        <w:rPr>
          <w:rFonts w:cstheme="minorHAnsi"/>
          <w:bCs/>
          <w:iCs/>
        </w:rPr>
      </w:pPr>
      <w:r w:rsidRPr="005E48B7">
        <w:rPr>
          <w:rFonts w:cstheme="minorHAnsi"/>
          <w:bCs/>
          <w:iCs/>
        </w:rPr>
        <w:t>To ensure the Council’s Capital Programme is monitored effectively.</w:t>
      </w:r>
    </w:p>
    <w:p w:rsidR="001668A0" w:rsidP="001668A0">
      <w:pPr>
        <w:spacing w:after="0" w:line="240" w:lineRule="auto"/>
        <w:jc w:val="both"/>
        <w:rPr>
          <w:rFonts w:cstheme="minorHAnsi"/>
          <w:bCs/>
        </w:rPr>
      </w:pPr>
    </w:p>
    <w:p w:rsidR="001668A0" w:rsidRPr="00ED4FF1" w:rsidP="001668A0">
      <w:pPr>
        <w:pStyle w:val="Heading2"/>
        <w:rPr>
          <w:sz w:val="8"/>
        </w:rPr>
      </w:pPr>
      <w:r>
        <w:t>Alternative Options Considered and Rejected</w:t>
      </w:r>
    </w:p>
    <w:p w:rsidR="001668A0" w:rsidRPr="003E3722" w:rsidP="001668A0">
      <w:pPr>
        <w:numPr>
          <w:ilvl w:val="0"/>
          <w:numId w:val="8"/>
        </w:numPr>
        <w:spacing w:after="0" w:line="240" w:lineRule="auto"/>
        <w:jc w:val="both"/>
        <w:rPr>
          <w:rFonts w:cstheme="minorHAnsi"/>
          <w:bCs/>
          <w:iCs/>
        </w:rPr>
      </w:pPr>
      <w:r>
        <w:rPr>
          <w:rFonts w:cstheme="minorHAnsi"/>
          <w:bCs/>
          <w:iCs/>
        </w:rPr>
        <w:t>None</w:t>
      </w:r>
    </w:p>
    <w:p w:rsidR="001668A0" w:rsidP="001668A0">
      <w:pPr>
        <w:spacing w:after="0" w:line="240" w:lineRule="auto"/>
        <w:jc w:val="both"/>
        <w:rPr>
          <w:rFonts w:cstheme="minorHAnsi"/>
          <w:bCs/>
          <w:iCs/>
        </w:rPr>
      </w:pPr>
    </w:p>
    <w:p w:rsidR="000179AF" w:rsidRPr="00ED4FF1" w:rsidP="001668A0">
      <w:pPr>
        <w:pStyle w:val="Heading2"/>
      </w:pPr>
      <w:r w:rsidRPr="00ED4FF1">
        <w:t>Corporate priorities</w:t>
      </w:r>
    </w:p>
    <w:p w:rsidR="000179AF" w:rsidP="00CF42B2">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w:t>
      </w:r>
    </w:p>
    <w:p w:rsidR="002A4A7D" w:rsidRPr="006149F1" w:rsidP="002A4A7D">
      <w:pPr>
        <w:spacing w:after="0" w:line="240" w:lineRule="auto"/>
        <w:ind w:left="360"/>
        <w:jc w:val="both"/>
        <w:rPr>
          <w:rFonts w:cstheme="minorHAnsi"/>
          <w:bCs/>
          <w:i/>
        </w:rPr>
      </w:pPr>
    </w:p>
    <w:tbl>
      <w:tblPr>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8"/>
        <w:gridCol w:w="4678"/>
      </w:tblGrid>
      <w:tr w:rsidTr="00286579">
        <w:tblPrEx>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848" w:type="dxa"/>
            <w:shd w:val="clear" w:color="auto" w:fill="auto"/>
            <w:vAlign w:val="center"/>
          </w:tcPr>
          <w:p w:rsidR="001073DC" w:rsidRPr="00E42F6B" w:rsidP="00286579">
            <w:pPr>
              <w:spacing w:line="240" w:lineRule="auto"/>
              <w:jc w:val="center"/>
              <w:rPr>
                <w:rFonts w:cstheme="minorHAnsi"/>
                <w:b/>
                <w:bCs/>
              </w:rPr>
            </w:pPr>
            <w:r w:rsidRPr="00E42F6B">
              <w:rPr>
                <w:rFonts w:cstheme="minorHAnsi"/>
                <w:b/>
                <w:bCs/>
              </w:rPr>
              <w:t>An exemplary council</w:t>
            </w:r>
          </w:p>
        </w:tc>
        <w:tc>
          <w:tcPr>
            <w:tcW w:w="4678" w:type="dxa"/>
            <w:vAlign w:val="center"/>
          </w:tcPr>
          <w:p w:rsidR="001073DC" w:rsidRPr="00E42F6B" w:rsidP="00286579">
            <w:pPr>
              <w:spacing w:line="240" w:lineRule="auto"/>
              <w:jc w:val="center"/>
              <w:rPr>
                <w:rFonts w:cstheme="minorHAnsi"/>
                <w:b/>
                <w:bCs/>
              </w:rPr>
            </w:pPr>
            <w:r w:rsidRPr="00E42F6B">
              <w:rPr>
                <w:rFonts w:cstheme="minorHAnsi"/>
                <w:b/>
                <w:bCs/>
              </w:rPr>
              <w:t>Thriving communities</w:t>
            </w:r>
          </w:p>
        </w:tc>
      </w:tr>
      <w:tr w:rsidTr="00286579">
        <w:tblPrEx>
          <w:tblW w:w="9526" w:type="dxa"/>
          <w:tblInd w:w="-5" w:type="dxa"/>
          <w:tblLook w:val="04A0"/>
        </w:tblPrEx>
        <w:tc>
          <w:tcPr>
            <w:tcW w:w="4848" w:type="dxa"/>
            <w:shd w:val="clear" w:color="auto" w:fill="auto"/>
            <w:vAlign w:val="center"/>
          </w:tcPr>
          <w:p w:rsidR="001073DC" w:rsidRPr="00E42F6B" w:rsidP="00286579">
            <w:pPr>
              <w:spacing w:line="240" w:lineRule="auto"/>
              <w:jc w:val="center"/>
              <w:rPr>
                <w:rFonts w:cstheme="minorHAnsi"/>
                <w:b/>
                <w:bCs/>
              </w:rPr>
            </w:pPr>
            <w:r w:rsidRPr="00E42F6B">
              <w:rPr>
                <w:rFonts w:cstheme="minorHAnsi"/>
                <w:b/>
                <w:bCs/>
              </w:rPr>
              <w:t>A fair local economy that works for everyone</w:t>
            </w:r>
          </w:p>
        </w:tc>
        <w:tc>
          <w:tcPr>
            <w:tcW w:w="4678" w:type="dxa"/>
            <w:vAlign w:val="center"/>
          </w:tcPr>
          <w:p w:rsidR="001073DC" w:rsidRPr="00E42F6B" w:rsidP="00286579">
            <w:pPr>
              <w:spacing w:line="240" w:lineRule="auto"/>
              <w:jc w:val="center"/>
              <w:rPr>
                <w:rFonts w:cstheme="minorHAnsi"/>
                <w:b/>
                <w:bCs/>
              </w:rPr>
            </w:pPr>
            <w:r w:rsidRPr="00E42F6B">
              <w:rPr>
                <w:rFonts w:cstheme="minorHAnsi"/>
                <w:b/>
                <w:bCs/>
              </w:rPr>
              <w:t>Good homes, green spaces, healthy places</w:t>
            </w:r>
          </w:p>
        </w:tc>
      </w:tr>
    </w:tbl>
    <w:p w:rsidR="000179AF" w:rsidP="001668A0"/>
    <w:p w:rsidR="005E48B7" w:rsidRPr="00ED4FF1" w:rsidP="005E48B7">
      <w:pPr>
        <w:pStyle w:val="Heading2"/>
      </w:pPr>
      <w:r>
        <w:t>Background</w:t>
      </w:r>
    </w:p>
    <w:p w:rsidR="005E48B7" w:rsidP="005E48B7">
      <w:pPr>
        <w:numPr>
          <w:ilvl w:val="0"/>
          <w:numId w:val="8"/>
        </w:numPr>
        <w:spacing w:after="0" w:line="240" w:lineRule="auto"/>
        <w:jc w:val="both"/>
        <w:rPr>
          <w:rFonts w:cstheme="minorHAnsi"/>
          <w:bCs/>
          <w:i/>
        </w:rPr>
      </w:pPr>
      <w:r w:rsidRPr="00D4431F">
        <w:rPr>
          <w:rFonts w:cstheme="minorHAnsi"/>
          <w:bCs/>
        </w:rPr>
        <w:t>The</w:t>
      </w:r>
      <w:r>
        <w:rPr>
          <w:rFonts w:cstheme="minorHAnsi"/>
          <w:bCs/>
        </w:rPr>
        <w:t xml:space="preserve"> capital budget for 2021/22 was set at £15.814m in February 2021.  It was increased following approval of the outturn to £21.380m.</w:t>
      </w:r>
    </w:p>
    <w:p w:rsidR="005E48B7" w:rsidP="001668A0"/>
    <w:p w:rsidR="000179AF" w:rsidP="001668A0">
      <w:pPr>
        <w:pStyle w:val="Heading2"/>
        <w:rPr>
          <w:u w:val="single"/>
        </w:rPr>
      </w:pPr>
      <w:r w:rsidRPr="00ED0A43">
        <w:rPr>
          <w:u w:val="single"/>
        </w:rPr>
        <w:t>Section A: Capital Programme</w:t>
      </w:r>
    </w:p>
    <w:p w:rsidR="00ED0A43" w:rsidRPr="00ED4FF1" w:rsidP="00ED0A43">
      <w:pPr>
        <w:pStyle w:val="Heading2"/>
      </w:pPr>
      <w:r>
        <w:t>Key Issues</w:t>
      </w:r>
    </w:p>
    <w:p w:rsidR="007815C3" w:rsidP="007815C3">
      <w:pPr>
        <w:numPr>
          <w:ilvl w:val="0"/>
          <w:numId w:val="8"/>
        </w:numPr>
        <w:spacing w:after="0" w:line="240" w:lineRule="auto"/>
        <w:jc w:val="both"/>
        <w:rPr>
          <w:rFonts w:cstheme="minorHAnsi"/>
          <w:bCs/>
          <w:iCs/>
        </w:rPr>
      </w:pPr>
      <w:r w:rsidRPr="00624783">
        <w:rPr>
          <w:rFonts w:cstheme="minorHAnsi"/>
          <w:bCs/>
          <w:iCs/>
        </w:rPr>
        <w:t>The total cost of the Council’s capital investment programme for 2021/22 has increased</w:t>
      </w:r>
      <w:r w:rsidRPr="00ED0A43">
        <w:rPr>
          <w:rFonts w:cstheme="minorHAnsi"/>
          <w:bCs/>
          <w:iCs/>
        </w:rPr>
        <w:t xml:space="preserve"> from £</w:t>
      </w:r>
      <w:r>
        <w:rPr>
          <w:rFonts w:cstheme="minorHAnsi"/>
          <w:bCs/>
          <w:iCs/>
        </w:rPr>
        <w:t>21</w:t>
      </w:r>
      <w:r w:rsidRPr="00ED0A43">
        <w:rPr>
          <w:rFonts w:cstheme="minorHAnsi"/>
          <w:bCs/>
          <w:iCs/>
        </w:rPr>
        <w:t>.</w:t>
      </w:r>
      <w:r>
        <w:rPr>
          <w:rFonts w:cstheme="minorHAnsi"/>
          <w:bCs/>
          <w:iCs/>
        </w:rPr>
        <w:t>380m</w:t>
      </w:r>
      <w:r w:rsidRPr="00ED0A43">
        <w:rPr>
          <w:rFonts w:cstheme="minorHAnsi"/>
          <w:bCs/>
          <w:iCs/>
        </w:rPr>
        <w:t xml:space="preserve">, as approved by Cabinet </w:t>
      </w:r>
      <w:r>
        <w:rPr>
          <w:rFonts w:cstheme="minorHAnsi"/>
          <w:bCs/>
          <w:iCs/>
        </w:rPr>
        <w:t xml:space="preserve">in the 2020/21 Capital Outturn Report </w:t>
      </w:r>
      <w:r w:rsidRPr="00ED0A43">
        <w:rPr>
          <w:rFonts w:cstheme="minorHAnsi"/>
          <w:bCs/>
          <w:iCs/>
        </w:rPr>
        <w:t xml:space="preserve">on 16th June 2021, to </w:t>
      </w:r>
      <w:r w:rsidRPr="00FF7A53">
        <w:rPr>
          <w:rFonts w:cstheme="minorHAnsi"/>
          <w:bCs/>
          <w:iCs/>
        </w:rPr>
        <w:t>£</w:t>
      </w:r>
      <w:r>
        <w:rPr>
          <w:rFonts w:cstheme="minorHAnsi"/>
          <w:bCs/>
          <w:iCs/>
        </w:rPr>
        <w:t>22</w:t>
      </w:r>
      <w:r w:rsidRPr="00FF7A53">
        <w:rPr>
          <w:rFonts w:cstheme="minorHAnsi"/>
          <w:bCs/>
          <w:iCs/>
        </w:rPr>
        <w:t>.</w:t>
      </w:r>
      <w:r>
        <w:rPr>
          <w:rFonts w:cstheme="minorHAnsi"/>
          <w:bCs/>
          <w:iCs/>
        </w:rPr>
        <w:t>081</w:t>
      </w:r>
      <w:r w:rsidRPr="00FF7A53">
        <w:rPr>
          <w:rFonts w:cstheme="minorHAnsi"/>
          <w:bCs/>
          <w:iCs/>
        </w:rPr>
        <w:t>m</w:t>
      </w:r>
      <w:r>
        <w:rPr>
          <w:rFonts w:cstheme="minorHAnsi"/>
          <w:bCs/>
          <w:iCs/>
        </w:rPr>
        <w:t xml:space="preserve"> </w:t>
      </w:r>
      <w:r w:rsidRPr="00ED0A43">
        <w:rPr>
          <w:rFonts w:cstheme="minorHAnsi"/>
          <w:bCs/>
          <w:iCs/>
        </w:rPr>
        <w:t xml:space="preserve">at </w:t>
      </w:r>
      <w:r>
        <w:rPr>
          <w:rFonts w:cstheme="minorHAnsi"/>
          <w:bCs/>
          <w:iCs/>
        </w:rPr>
        <w:t>31</w:t>
      </w:r>
      <w:r w:rsidRPr="00FF7A53">
        <w:rPr>
          <w:rFonts w:cstheme="minorHAnsi"/>
          <w:bCs/>
          <w:iCs/>
          <w:vertAlign w:val="superscript"/>
        </w:rPr>
        <w:t>st</w:t>
      </w:r>
      <w:r>
        <w:rPr>
          <w:rFonts w:cstheme="minorHAnsi"/>
          <w:bCs/>
          <w:iCs/>
        </w:rPr>
        <w:t xml:space="preserve"> July 2021</w:t>
      </w:r>
      <w:r w:rsidRPr="00ED0A43">
        <w:rPr>
          <w:rFonts w:cstheme="minorHAnsi"/>
          <w:bCs/>
          <w:iCs/>
        </w:rPr>
        <w:t>; this includes the variations noted in this report. A summary of the total costs of the programme</w:t>
      </w:r>
      <w:r>
        <w:rPr>
          <w:rFonts w:cstheme="minorHAnsi"/>
          <w:bCs/>
          <w:iCs/>
        </w:rPr>
        <w:t>,</w:t>
      </w:r>
      <w:r w:rsidRPr="00ED0A43">
        <w:rPr>
          <w:rFonts w:cstheme="minorHAnsi"/>
          <w:bCs/>
          <w:iCs/>
        </w:rPr>
        <w:t xml:space="preserve"> and the funding of this</w:t>
      </w:r>
      <w:r>
        <w:rPr>
          <w:rFonts w:cstheme="minorHAnsi"/>
          <w:bCs/>
          <w:iCs/>
        </w:rPr>
        <w:t>,</w:t>
      </w:r>
      <w:r w:rsidRPr="00ED0A43">
        <w:rPr>
          <w:rFonts w:cstheme="minorHAnsi"/>
          <w:bCs/>
          <w:iCs/>
        </w:rPr>
        <w:t xml:space="preserve"> is detailed at </w:t>
      </w:r>
      <w:r w:rsidRPr="00C25EDA">
        <w:rPr>
          <w:rFonts w:cstheme="minorHAnsi"/>
          <w:b/>
          <w:bCs/>
          <w:iCs/>
        </w:rPr>
        <w:t>Appendix A</w:t>
      </w:r>
      <w:r w:rsidRPr="00ED0A43">
        <w:rPr>
          <w:rFonts w:cstheme="minorHAnsi"/>
          <w:bCs/>
          <w:iCs/>
        </w:rPr>
        <w:t>.</w:t>
      </w:r>
    </w:p>
    <w:p w:rsidR="00ED0A43" w:rsidP="00ED0A43">
      <w:pPr>
        <w:spacing w:after="0" w:line="240" w:lineRule="auto"/>
        <w:ind w:left="360"/>
        <w:jc w:val="both"/>
        <w:rPr>
          <w:rFonts w:cstheme="minorHAnsi"/>
          <w:bCs/>
          <w:iCs/>
        </w:rPr>
      </w:pPr>
    </w:p>
    <w:p w:rsidR="00BC47D0" w:rsidRPr="00BC47D0" w:rsidP="00BC47D0">
      <w:pPr>
        <w:numPr>
          <w:ilvl w:val="0"/>
          <w:numId w:val="8"/>
        </w:numPr>
        <w:spacing w:after="0" w:line="240" w:lineRule="auto"/>
        <w:jc w:val="both"/>
        <w:rPr>
          <w:rFonts w:cstheme="minorHAnsi"/>
          <w:bCs/>
          <w:iCs/>
        </w:rPr>
      </w:pPr>
      <w:r w:rsidRPr="00ED0A43">
        <w:rPr>
          <w:rFonts w:cstheme="minorHAnsi"/>
          <w:bCs/>
          <w:iCs/>
        </w:rPr>
        <w:t>The net variation of £</w:t>
      </w:r>
      <w:r>
        <w:rPr>
          <w:rFonts w:cstheme="minorHAnsi"/>
          <w:bCs/>
          <w:iCs/>
        </w:rPr>
        <w:t>0</w:t>
      </w:r>
      <w:r w:rsidRPr="00ED0A43">
        <w:rPr>
          <w:rFonts w:cstheme="minorHAnsi"/>
          <w:bCs/>
          <w:iCs/>
        </w:rPr>
        <w:t>.</w:t>
      </w:r>
      <w:r>
        <w:rPr>
          <w:rFonts w:cstheme="minorHAnsi"/>
          <w:bCs/>
          <w:iCs/>
        </w:rPr>
        <w:t>701m</w:t>
      </w:r>
      <w:r w:rsidRPr="00ED0A43">
        <w:rPr>
          <w:rFonts w:cstheme="minorHAnsi"/>
          <w:bCs/>
          <w:iCs/>
        </w:rPr>
        <w:t xml:space="preserve"> </w:t>
      </w:r>
      <w:r>
        <w:rPr>
          <w:rFonts w:cstheme="minorHAnsi"/>
          <w:bCs/>
          <w:iCs/>
        </w:rPr>
        <w:t>i</w:t>
      </w:r>
      <w:r w:rsidRPr="00ED0A43">
        <w:rPr>
          <w:rFonts w:cstheme="minorHAnsi"/>
          <w:bCs/>
          <w:iCs/>
        </w:rPr>
        <w:t xml:space="preserve">s detailed </w:t>
      </w:r>
      <w:r>
        <w:rPr>
          <w:rFonts w:cstheme="minorHAnsi"/>
          <w:bCs/>
          <w:iCs/>
        </w:rPr>
        <w:t xml:space="preserve">by scheme </w:t>
      </w:r>
      <w:r w:rsidRPr="00ED0A43">
        <w:rPr>
          <w:rFonts w:cstheme="minorHAnsi"/>
          <w:bCs/>
          <w:iCs/>
        </w:rPr>
        <w:t xml:space="preserve">in </w:t>
      </w:r>
      <w:r w:rsidRPr="00C25EDA">
        <w:rPr>
          <w:rFonts w:cstheme="minorHAnsi"/>
          <w:b/>
          <w:bCs/>
          <w:iCs/>
        </w:rPr>
        <w:t>Appendix B</w:t>
      </w:r>
      <w:r>
        <w:rPr>
          <w:rFonts w:cstheme="minorHAnsi"/>
          <w:bCs/>
          <w:iCs/>
        </w:rPr>
        <w:t>.  The net variation includes three types of changes; those variations approved since the previous budget report, i.e. the 2020/21 Capital Outturn report, variations requested in this report at point 3, and variations in respect of the reprofiling of budgets within the existing programme.</w:t>
      </w:r>
    </w:p>
    <w:p w:rsidR="00BC47D0" w:rsidP="00BC47D0">
      <w:pPr>
        <w:spacing w:after="0" w:line="240" w:lineRule="auto"/>
        <w:ind w:left="360"/>
        <w:jc w:val="both"/>
        <w:rPr>
          <w:rFonts w:cstheme="minorHAnsi"/>
          <w:bCs/>
          <w:iCs/>
        </w:rPr>
      </w:pPr>
    </w:p>
    <w:p w:rsidR="00ED0A43" w:rsidRPr="00BC47D0" w:rsidP="00BC47D0">
      <w:pPr>
        <w:numPr>
          <w:ilvl w:val="0"/>
          <w:numId w:val="8"/>
        </w:numPr>
        <w:spacing w:after="0" w:line="240" w:lineRule="auto"/>
        <w:jc w:val="both"/>
        <w:rPr>
          <w:rFonts w:cstheme="minorHAnsi"/>
          <w:bCs/>
          <w:iCs/>
        </w:rPr>
      </w:pPr>
      <w:r>
        <w:rPr>
          <w:rFonts w:cstheme="minorHAnsi"/>
          <w:bCs/>
          <w:iCs/>
        </w:rPr>
        <w:t>Budget v</w:t>
      </w:r>
      <w:r w:rsidRPr="00BC47D0">
        <w:rPr>
          <w:rFonts w:cstheme="minorHAnsi"/>
          <w:bCs/>
          <w:iCs/>
        </w:rPr>
        <w:t xml:space="preserve">ariations approved in the </w:t>
      </w:r>
      <w:r>
        <w:rPr>
          <w:rFonts w:cstheme="minorHAnsi"/>
          <w:bCs/>
          <w:iCs/>
        </w:rPr>
        <w:t>first four months</w:t>
      </w:r>
      <w:r w:rsidRPr="00BC47D0">
        <w:rPr>
          <w:rFonts w:cstheme="minorHAnsi"/>
          <w:bCs/>
          <w:iCs/>
        </w:rPr>
        <w:t xml:space="preserve"> of the year </w:t>
      </w:r>
      <w:r>
        <w:rPr>
          <w:rFonts w:cstheme="minorHAnsi"/>
          <w:bCs/>
          <w:iCs/>
        </w:rPr>
        <w:t xml:space="preserve">are shown in the table below and resulted in </w:t>
      </w:r>
      <w:r w:rsidRPr="00BC47D0">
        <w:rPr>
          <w:rFonts w:cstheme="minorHAnsi"/>
          <w:bCs/>
          <w:iCs/>
        </w:rPr>
        <w:t>an increase of £0.790m to the capital programme.</w:t>
      </w:r>
    </w:p>
    <w:p w:rsidR="00ED0A43" w:rsidP="00756FF4">
      <w:pPr>
        <w:spacing w:after="0" w:line="240" w:lineRule="auto"/>
        <w:jc w:val="both"/>
        <w:rPr>
          <w:rFonts w:cstheme="minorHAnsi"/>
          <w:bCs/>
          <w:iCs/>
        </w:rPr>
      </w:pPr>
    </w:p>
    <w:p w:rsidR="00756FF4">
      <w:pPr>
        <w:rPr>
          <w:rFonts w:cstheme="minorHAnsi"/>
          <w:bCs/>
          <w:iCs/>
        </w:rPr>
      </w:pPr>
      <w:r>
        <w:rPr>
          <w:rFonts w:cstheme="minorHAnsi"/>
          <w:bCs/>
          <w:iCs/>
        </w:rPr>
        <w:br w:type="page"/>
      </w:r>
    </w:p>
    <w:tbl>
      <w:tblPr>
        <w:tblW w:w="9100" w:type="dxa"/>
        <w:tblLook w:val="04A0"/>
      </w:tblPr>
      <w:tblGrid>
        <w:gridCol w:w="2905"/>
        <w:gridCol w:w="1439"/>
        <w:gridCol w:w="1439"/>
        <w:gridCol w:w="1581"/>
        <w:gridCol w:w="1736"/>
      </w:tblGrid>
      <w:tr w:rsidTr="00756FF4">
        <w:tblPrEx>
          <w:tblW w:w="9100" w:type="dxa"/>
          <w:tblLook w:val="04A0"/>
        </w:tblPrEx>
        <w:trPr>
          <w:trHeight w:val="600"/>
          <w:tblHeader/>
        </w:trPr>
        <w:tc>
          <w:tcPr>
            <w:tcW w:w="2905" w:type="dxa"/>
            <w:vMerge w:val="restart"/>
            <w:tcBorders>
              <w:top w:val="single" w:sz="4" w:space="0" w:color="auto"/>
              <w:left w:val="single" w:sz="4" w:space="0" w:color="auto"/>
              <w:bottom w:val="single" w:sz="4" w:space="0" w:color="auto"/>
              <w:right w:val="nil"/>
            </w:tcBorders>
            <w:shd w:val="clear" w:color="000000" w:fill="BFBFBF"/>
            <w:vAlign w:val="center"/>
            <w:hideMark/>
          </w:tcPr>
          <w:p w:rsidR="009D6197" w:rsidRPr="009D6197" w:rsidP="009D6197">
            <w:pPr>
              <w:spacing w:after="0" w:line="240" w:lineRule="auto"/>
              <w:rPr>
                <w:rFonts w:ascii="Arial" w:eastAsia="Times New Roman" w:hAnsi="Arial" w:cs="Arial"/>
                <w:b/>
                <w:bCs/>
                <w:color w:val="000000"/>
                <w:lang w:eastAsia="en-GB"/>
              </w:rPr>
            </w:pPr>
            <w:r w:rsidRPr="009D6197">
              <w:rPr>
                <w:rFonts w:ascii="Arial" w:eastAsia="Times New Roman" w:hAnsi="Arial" w:cs="Arial"/>
                <w:b/>
                <w:bCs/>
                <w:color w:val="000000"/>
                <w:lang w:eastAsia="en-GB"/>
              </w:rPr>
              <w:t>Scheme</w:t>
            </w:r>
          </w:p>
        </w:tc>
        <w:tc>
          <w:tcPr>
            <w:tcW w:w="1439" w:type="dxa"/>
            <w:tcBorders>
              <w:top w:val="single" w:sz="4" w:space="0" w:color="auto"/>
              <w:left w:val="single" w:sz="4" w:space="0" w:color="auto"/>
              <w:bottom w:val="nil"/>
              <w:right w:val="single" w:sz="4" w:space="0" w:color="auto"/>
            </w:tcBorders>
            <w:shd w:val="clear" w:color="000000" w:fill="BFBFBF"/>
            <w:vAlign w:val="center"/>
            <w:hideMark/>
          </w:tcPr>
          <w:p w:rsidR="009D6197" w:rsidRPr="009D6197" w:rsidP="009D6197">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Increase / (Reduction)</w:t>
            </w:r>
            <w:r w:rsidRPr="009D6197">
              <w:rPr>
                <w:rFonts w:ascii="Arial" w:eastAsia="Times New Roman" w:hAnsi="Arial" w:cs="Arial"/>
                <w:b/>
                <w:bCs/>
                <w:color w:val="000000"/>
                <w:lang w:eastAsia="en-GB"/>
              </w:rPr>
              <w:t xml:space="preserve"> 2021/22</w:t>
            </w:r>
          </w:p>
        </w:tc>
        <w:tc>
          <w:tcPr>
            <w:tcW w:w="1439" w:type="dxa"/>
            <w:tcBorders>
              <w:top w:val="single" w:sz="4" w:space="0" w:color="auto"/>
              <w:left w:val="nil"/>
              <w:bottom w:val="nil"/>
              <w:right w:val="single" w:sz="4" w:space="0" w:color="auto"/>
            </w:tcBorders>
            <w:shd w:val="clear" w:color="000000" w:fill="BFBFBF"/>
            <w:vAlign w:val="center"/>
            <w:hideMark/>
          </w:tcPr>
          <w:p w:rsidR="009D6197" w:rsidRPr="009D6197" w:rsidP="009D6197">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Increase / (Reduction)</w:t>
            </w:r>
            <w:r w:rsidRPr="009D6197">
              <w:rPr>
                <w:rFonts w:ascii="Arial" w:eastAsia="Times New Roman" w:hAnsi="Arial" w:cs="Arial"/>
                <w:b/>
                <w:bCs/>
                <w:color w:val="000000"/>
                <w:lang w:eastAsia="en-GB"/>
              </w:rPr>
              <w:t xml:space="preserve"> 2022/23</w:t>
            </w:r>
          </w:p>
        </w:tc>
        <w:tc>
          <w:tcPr>
            <w:tcW w:w="1581" w:type="dxa"/>
            <w:vMerge w:val="restart"/>
            <w:tcBorders>
              <w:top w:val="single" w:sz="4" w:space="0" w:color="auto"/>
              <w:left w:val="nil"/>
              <w:bottom w:val="single" w:sz="4" w:space="0" w:color="auto"/>
              <w:right w:val="single" w:sz="4" w:space="0" w:color="auto"/>
            </w:tcBorders>
            <w:shd w:val="clear" w:color="000000" w:fill="BFBFBF"/>
            <w:vAlign w:val="center"/>
            <w:hideMark/>
          </w:tcPr>
          <w:p w:rsidR="009D6197" w:rsidRPr="009D6197" w:rsidP="009D6197">
            <w:pPr>
              <w:spacing w:after="0" w:line="240" w:lineRule="auto"/>
              <w:jc w:val="center"/>
              <w:rPr>
                <w:rFonts w:ascii="Arial" w:eastAsia="Times New Roman" w:hAnsi="Arial" w:cs="Arial"/>
                <w:b/>
                <w:bCs/>
                <w:color w:val="000000"/>
                <w:lang w:eastAsia="en-GB"/>
              </w:rPr>
            </w:pPr>
            <w:r w:rsidRPr="009D6197">
              <w:rPr>
                <w:rFonts w:ascii="Arial" w:eastAsia="Times New Roman" w:hAnsi="Arial" w:cs="Arial"/>
                <w:b/>
                <w:bCs/>
                <w:color w:val="000000"/>
                <w:lang w:eastAsia="en-GB"/>
              </w:rPr>
              <w:t>Approved by</w:t>
            </w:r>
          </w:p>
        </w:tc>
        <w:tc>
          <w:tcPr>
            <w:tcW w:w="173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9D6197" w:rsidRPr="009D6197" w:rsidP="009D6197">
            <w:pPr>
              <w:spacing w:after="0" w:line="240" w:lineRule="auto"/>
              <w:jc w:val="center"/>
              <w:rPr>
                <w:rFonts w:ascii="Arial" w:eastAsia="Times New Roman" w:hAnsi="Arial" w:cs="Arial"/>
                <w:b/>
                <w:bCs/>
                <w:color w:val="000000"/>
                <w:lang w:eastAsia="en-GB"/>
              </w:rPr>
            </w:pPr>
            <w:r w:rsidRPr="009D6197">
              <w:rPr>
                <w:rFonts w:ascii="Arial" w:eastAsia="Times New Roman" w:hAnsi="Arial" w:cs="Arial"/>
                <w:b/>
                <w:bCs/>
                <w:color w:val="000000"/>
                <w:lang w:eastAsia="en-GB"/>
              </w:rPr>
              <w:t>Date approved</w:t>
            </w:r>
          </w:p>
        </w:tc>
      </w:tr>
      <w:tr w:rsidTr="00756FF4">
        <w:tblPrEx>
          <w:tblW w:w="9100" w:type="dxa"/>
          <w:tblLook w:val="04A0"/>
        </w:tblPrEx>
        <w:trPr>
          <w:trHeight w:val="300"/>
          <w:tblHeader/>
        </w:trPr>
        <w:tc>
          <w:tcPr>
            <w:tcW w:w="2905" w:type="dxa"/>
            <w:vMerge/>
            <w:tcBorders>
              <w:top w:val="single" w:sz="4" w:space="0" w:color="auto"/>
              <w:left w:val="single" w:sz="4" w:space="0" w:color="auto"/>
              <w:bottom w:val="single" w:sz="4" w:space="0" w:color="auto"/>
              <w:right w:val="nil"/>
            </w:tcBorders>
            <w:vAlign w:val="center"/>
            <w:hideMark/>
          </w:tcPr>
          <w:p w:rsidR="009D6197" w:rsidRPr="009D6197" w:rsidP="009D6197">
            <w:pPr>
              <w:spacing w:after="0" w:line="240" w:lineRule="auto"/>
              <w:rPr>
                <w:rFonts w:ascii="Arial" w:eastAsia="Times New Roman" w:hAnsi="Arial" w:cs="Arial"/>
                <w:b/>
                <w:bCs/>
                <w:color w:val="000000"/>
                <w:lang w:eastAsia="en-GB"/>
              </w:rPr>
            </w:pPr>
          </w:p>
        </w:tc>
        <w:tc>
          <w:tcPr>
            <w:tcW w:w="1439" w:type="dxa"/>
            <w:tcBorders>
              <w:top w:val="nil"/>
              <w:left w:val="single" w:sz="4" w:space="0" w:color="auto"/>
              <w:bottom w:val="single" w:sz="4" w:space="0" w:color="auto"/>
              <w:right w:val="single" w:sz="4" w:space="0" w:color="auto"/>
            </w:tcBorders>
            <w:shd w:val="clear" w:color="000000" w:fill="BFBFBF"/>
            <w:vAlign w:val="center"/>
            <w:hideMark/>
          </w:tcPr>
          <w:p w:rsidR="009D6197" w:rsidRPr="009D6197" w:rsidP="009D6197">
            <w:pPr>
              <w:spacing w:after="0" w:line="240" w:lineRule="auto"/>
              <w:jc w:val="center"/>
              <w:rPr>
                <w:rFonts w:ascii="Arial" w:eastAsia="Times New Roman" w:hAnsi="Arial" w:cs="Arial"/>
                <w:b/>
                <w:bCs/>
                <w:color w:val="000000"/>
                <w:lang w:eastAsia="en-GB"/>
              </w:rPr>
            </w:pPr>
            <w:r w:rsidRPr="009D6197">
              <w:rPr>
                <w:rFonts w:ascii="Arial" w:eastAsia="Times New Roman" w:hAnsi="Arial" w:cs="Arial"/>
                <w:b/>
                <w:bCs/>
                <w:color w:val="000000"/>
                <w:lang w:eastAsia="en-GB"/>
              </w:rPr>
              <w:t>£’000</w:t>
            </w:r>
          </w:p>
        </w:tc>
        <w:tc>
          <w:tcPr>
            <w:tcW w:w="1439" w:type="dxa"/>
            <w:tcBorders>
              <w:top w:val="nil"/>
              <w:left w:val="nil"/>
              <w:bottom w:val="single" w:sz="4" w:space="0" w:color="auto"/>
              <w:right w:val="single" w:sz="4" w:space="0" w:color="auto"/>
            </w:tcBorders>
            <w:shd w:val="clear" w:color="000000" w:fill="BFBFBF"/>
            <w:vAlign w:val="center"/>
            <w:hideMark/>
          </w:tcPr>
          <w:p w:rsidR="009D6197" w:rsidRPr="009D6197" w:rsidP="009D6197">
            <w:pPr>
              <w:spacing w:after="0" w:line="240" w:lineRule="auto"/>
              <w:jc w:val="center"/>
              <w:rPr>
                <w:rFonts w:ascii="Arial" w:eastAsia="Times New Roman" w:hAnsi="Arial" w:cs="Arial"/>
                <w:b/>
                <w:bCs/>
                <w:color w:val="000000"/>
                <w:lang w:eastAsia="en-GB"/>
              </w:rPr>
            </w:pPr>
            <w:r w:rsidRPr="009D6197">
              <w:rPr>
                <w:rFonts w:ascii="Arial" w:eastAsia="Times New Roman" w:hAnsi="Arial" w:cs="Arial"/>
                <w:b/>
                <w:bCs/>
                <w:color w:val="000000"/>
                <w:lang w:eastAsia="en-GB"/>
              </w:rPr>
              <w:t>£’000</w:t>
            </w:r>
          </w:p>
        </w:tc>
        <w:tc>
          <w:tcPr>
            <w:tcW w:w="1581" w:type="dxa"/>
            <w:vMerge/>
            <w:tcBorders>
              <w:top w:val="single" w:sz="4" w:space="0" w:color="auto"/>
              <w:left w:val="nil"/>
              <w:bottom w:val="single" w:sz="4" w:space="0" w:color="auto"/>
              <w:right w:val="single" w:sz="4" w:space="0" w:color="auto"/>
            </w:tcBorders>
            <w:vAlign w:val="center"/>
            <w:hideMark/>
          </w:tcPr>
          <w:p w:rsidR="009D6197" w:rsidRPr="009D6197" w:rsidP="009D6197">
            <w:pPr>
              <w:spacing w:after="0" w:line="240" w:lineRule="auto"/>
              <w:rPr>
                <w:rFonts w:ascii="Arial" w:eastAsia="Times New Roman" w:hAnsi="Arial" w:cs="Arial"/>
                <w:b/>
                <w:bCs/>
                <w:color w:val="000000"/>
                <w:lang w:eastAsia="en-GB"/>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9D6197" w:rsidRPr="009D6197" w:rsidP="009D6197">
            <w:pPr>
              <w:spacing w:after="0" w:line="240" w:lineRule="auto"/>
              <w:rPr>
                <w:rFonts w:ascii="Arial" w:eastAsia="Times New Roman" w:hAnsi="Arial" w:cs="Arial"/>
                <w:b/>
                <w:bCs/>
                <w:color w:val="000000"/>
                <w:lang w:eastAsia="en-GB"/>
              </w:rPr>
            </w:pPr>
          </w:p>
        </w:tc>
      </w:tr>
      <w:tr w:rsidTr="009D6197">
        <w:tblPrEx>
          <w:tblW w:w="9100" w:type="dxa"/>
          <w:tblLook w:val="04A0"/>
        </w:tblPrEx>
        <w:trPr>
          <w:trHeight w:val="300"/>
        </w:trPr>
        <w:tc>
          <w:tcPr>
            <w:tcW w:w="9100"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9D6197" w:rsidRPr="009D6197" w:rsidP="009D6197">
            <w:pPr>
              <w:spacing w:after="0" w:line="240" w:lineRule="auto"/>
              <w:rPr>
                <w:rFonts w:ascii="Arial" w:eastAsia="Times New Roman" w:hAnsi="Arial" w:cs="Arial"/>
                <w:b/>
                <w:bCs/>
                <w:color w:val="000000"/>
                <w:lang w:eastAsia="en-GB"/>
              </w:rPr>
            </w:pPr>
            <w:r w:rsidRPr="009D6197">
              <w:rPr>
                <w:rFonts w:ascii="Arial" w:eastAsia="Times New Roman" w:hAnsi="Arial" w:cstheme="minorHAnsi"/>
                <w:b/>
                <w:bCs/>
                <w:color w:val="000000"/>
                <w:lang w:eastAsia="en-GB"/>
              </w:rPr>
              <w:t>Good homes, green spaces and healthy places</w:t>
            </w:r>
          </w:p>
        </w:tc>
      </w:tr>
      <w:tr w:rsidTr="00756FF4">
        <w:tblPrEx>
          <w:tblW w:w="9100" w:type="dxa"/>
          <w:tblLook w:val="04A0"/>
        </w:tblPrEx>
        <w:trPr>
          <w:trHeight w:val="570"/>
        </w:trPr>
        <w:tc>
          <w:tcPr>
            <w:tcW w:w="2905" w:type="dxa"/>
            <w:tcBorders>
              <w:top w:val="nil"/>
              <w:left w:val="single" w:sz="4" w:space="0" w:color="auto"/>
              <w:bottom w:val="single" w:sz="4" w:space="0" w:color="auto"/>
              <w:right w:val="single" w:sz="4" w:space="0" w:color="auto"/>
            </w:tcBorders>
            <w:shd w:val="clear" w:color="auto" w:fill="auto"/>
            <w:vAlign w:val="center"/>
            <w:hideMark/>
          </w:tcPr>
          <w:p w:rsidR="009D6197" w:rsidRPr="009D6197" w:rsidP="009D6197">
            <w:pPr>
              <w:spacing w:after="0" w:line="240" w:lineRule="auto"/>
              <w:rPr>
                <w:rFonts w:ascii="Arial" w:eastAsia="Times New Roman" w:hAnsi="Arial" w:cs="Arial"/>
                <w:color w:val="000000"/>
                <w:lang w:eastAsia="en-GB"/>
              </w:rPr>
            </w:pPr>
            <w:r w:rsidRPr="009D6197">
              <w:rPr>
                <w:rFonts w:ascii="Arial" w:eastAsia="Times New Roman" w:hAnsi="Arial" w:cstheme="minorHAnsi"/>
                <w:bCs/>
                <w:color w:val="000000"/>
                <w:lang w:eastAsia="en-GB"/>
              </w:rPr>
              <w:t>Green Infrastructure unallocated</w:t>
            </w:r>
          </w:p>
        </w:tc>
        <w:tc>
          <w:tcPr>
            <w:tcW w:w="1439" w:type="dxa"/>
            <w:tcBorders>
              <w:top w:val="nil"/>
              <w:left w:val="nil"/>
              <w:bottom w:val="single" w:sz="4" w:space="0" w:color="auto"/>
              <w:right w:val="single" w:sz="4" w:space="0" w:color="auto"/>
            </w:tcBorders>
            <w:shd w:val="clear" w:color="auto" w:fill="auto"/>
            <w:noWrap/>
            <w:vAlign w:val="center"/>
            <w:hideMark/>
          </w:tcPr>
          <w:p w:rsidR="009D6197" w:rsidRPr="009D6197" w:rsidP="009D6197">
            <w:pPr>
              <w:spacing w:after="0" w:line="240" w:lineRule="auto"/>
              <w:jc w:val="right"/>
              <w:rPr>
                <w:rFonts w:ascii="Arial" w:eastAsia="Times New Roman" w:hAnsi="Arial" w:cs="Arial"/>
                <w:color w:val="000000"/>
                <w:lang w:eastAsia="en-GB"/>
              </w:rPr>
            </w:pPr>
            <w:r w:rsidRPr="009D6197">
              <w:rPr>
                <w:rFonts w:ascii="Arial" w:eastAsia="Times New Roman" w:hAnsi="Arial" w:cstheme="minorHAnsi"/>
                <w:bCs/>
                <w:color w:val="000000"/>
                <w:lang w:eastAsia="en-GB"/>
              </w:rPr>
              <w:t>(10)</w:t>
            </w:r>
          </w:p>
        </w:tc>
        <w:tc>
          <w:tcPr>
            <w:tcW w:w="1439" w:type="dxa"/>
            <w:tcBorders>
              <w:top w:val="nil"/>
              <w:left w:val="nil"/>
              <w:bottom w:val="single" w:sz="4" w:space="0" w:color="auto"/>
              <w:right w:val="single" w:sz="4" w:space="0" w:color="auto"/>
            </w:tcBorders>
            <w:shd w:val="clear" w:color="auto" w:fill="auto"/>
            <w:noWrap/>
            <w:vAlign w:val="center"/>
            <w:hideMark/>
          </w:tcPr>
          <w:p w:rsidR="009D6197" w:rsidRPr="009D6197" w:rsidP="009D6197">
            <w:pPr>
              <w:spacing w:after="0" w:line="240" w:lineRule="auto"/>
              <w:jc w:val="right"/>
              <w:rPr>
                <w:rFonts w:ascii="Arial" w:eastAsia="Times New Roman" w:hAnsi="Arial" w:cs="Arial"/>
                <w:color w:val="000000"/>
                <w:lang w:eastAsia="en-GB"/>
              </w:rPr>
            </w:pPr>
            <w:r w:rsidRPr="009D6197">
              <w:rPr>
                <w:rFonts w:ascii="Arial" w:eastAsia="Times New Roman" w:hAnsi="Arial" w:cstheme="minorHAnsi"/>
                <w:bCs/>
                <w:color w:val="000000"/>
                <w:lang w:eastAsia="en-GB"/>
              </w:rPr>
              <w:t xml:space="preserve">-  </w:t>
            </w:r>
          </w:p>
        </w:tc>
        <w:tc>
          <w:tcPr>
            <w:tcW w:w="1581" w:type="dxa"/>
            <w:tcBorders>
              <w:top w:val="nil"/>
              <w:left w:val="nil"/>
              <w:bottom w:val="single" w:sz="4" w:space="0" w:color="auto"/>
              <w:right w:val="single" w:sz="4" w:space="0" w:color="auto"/>
            </w:tcBorders>
            <w:shd w:val="clear" w:color="auto" w:fill="auto"/>
            <w:vAlign w:val="center"/>
            <w:hideMark/>
          </w:tcPr>
          <w:p w:rsidR="009D6197" w:rsidRPr="009D6197" w:rsidP="009D6197">
            <w:pPr>
              <w:spacing w:after="0" w:line="240" w:lineRule="auto"/>
              <w:jc w:val="center"/>
              <w:rPr>
                <w:rFonts w:ascii="Arial" w:eastAsia="Times New Roman" w:hAnsi="Arial" w:cs="Arial"/>
                <w:color w:val="000000"/>
                <w:lang w:eastAsia="en-GB"/>
              </w:rPr>
            </w:pPr>
            <w:r w:rsidRPr="009D6197">
              <w:rPr>
                <w:rFonts w:ascii="Arial" w:eastAsia="Times New Roman" w:hAnsi="Arial" w:cstheme="minorHAnsi"/>
                <w:bCs/>
                <w:color w:val="000000"/>
                <w:lang w:eastAsia="en-GB"/>
              </w:rPr>
              <w:t>EMD</w:t>
            </w:r>
          </w:p>
        </w:tc>
        <w:tc>
          <w:tcPr>
            <w:tcW w:w="1736" w:type="dxa"/>
            <w:tcBorders>
              <w:top w:val="nil"/>
              <w:left w:val="nil"/>
              <w:bottom w:val="single" w:sz="4" w:space="0" w:color="auto"/>
              <w:right w:val="single" w:sz="4" w:space="0" w:color="auto"/>
            </w:tcBorders>
            <w:shd w:val="clear" w:color="auto" w:fill="auto"/>
            <w:vAlign w:val="center"/>
            <w:hideMark/>
          </w:tcPr>
          <w:p w:rsidR="009D6197" w:rsidRPr="009D6197" w:rsidP="009D6197">
            <w:pPr>
              <w:spacing w:after="0" w:line="240" w:lineRule="auto"/>
              <w:jc w:val="center"/>
              <w:rPr>
                <w:rFonts w:ascii="Arial" w:eastAsia="Times New Roman" w:hAnsi="Arial" w:cs="Arial"/>
                <w:color w:val="000000"/>
                <w:lang w:eastAsia="en-GB"/>
              </w:rPr>
            </w:pPr>
            <w:r w:rsidRPr="009D6197">
              <w:rPr>
                <w:rFonts w:ascii="Arial" w:eastAsia="Times New Roman" w:hAnsi="Arial" w:cstheme="minorHAnsi"/>
                <w:bCs/>
                <w:color w:val="000000"/>
                <w:lang w:eastAsia="en-GB"/>
              </w:rPr>
              <w:t>31st July 2021</w:t>
            </w:r>
          </w:p>
        </w:tc>
      </w:tr>
      <w:tr w:rsidTr="00756FF4">
        <w:tblPrEx>
          <w:tblW w:w="9100" w:type="dxa"/>
          <w:tblLook w:val="04A0"/>
        </w:tblPrEx>
        <w:trPr>
          <w:trHeight w:val="570"/>
        </w:trPr>
        <w:tc>
          <w:tcPr>
            <w:tcW w:w="2905" w:type="dxa"/>
            <w:tcBorders>
              <w:top w:val="nil"/>
              <w:left w:val="single" w:sz="4" w:space="0" w:color="auto"/>
              <w:bottom w:val="single" w:sz="4" w:space="0" w:color="auto"/>
              <w:right w:val="single" w:sz="4" w:space="0" w:color="auto"/>
            </w:tcBorders>
            <w:shd w:val="clear" w:color="auto" w:fill="auto"/>
            <w:vAlign w:val="center"/>
            <w:hideMark/>
          </w:tcPr>
          <w:p w:rsidR="009D6197" w:rsidRPr="009D6197" w:rsidP="009D6197">
            <w:pPr>
              <w:spacing w:after="0" w:line="240" w:lineRule="auto"/>
              <w:rPr>
                <w:rFonts w:ascii="Arial" w:eastAsia="Times New Roman" w:hAnsi="Arial" w:cs="Arial"/>
                <w:color w:val="000000"/>
                <w:lang w:eastAsia="en-GB"/>
              </w:rPr>
            </w:pPr>
            <w:r w:rsidRPr="009D6197">
              <w:rPr>
                <w:rFonts w:ascii="Arial" w:eastAsia="Times New Roman" w:hAnsi="Arial" w:cstheme="minorHAnsi"/>
                <w:bCs/>
                <w:color w:val="000000"/>
                <w:lang w:eastAsia="en-GB"/>
              </w:rPr>
              <w:t>Bridleway in western Leyland</w:t>
            </w:r>
          </w:p>
        </w:tc>
        <w:tc>
          <w:tcPr>
            <w:tcW w:w="1439" w:type="dxa"/>
            <w:tcBorders>
              <w:top w:val="nil"/>
              <w:left w:val="nil"/>
              <w:bottom w:val="single" w:sz="4" w:space="0" w:color="auto"/>
              <w:right w:val="single" w:sz="4" w:space="0" w:color="auto"/>
            </w:tcBorders>
            <w:shd w:val="clear" w:color="auto" w:fill="auto"/>
            <w:noWrap/>
            <w:vAlign w:val="center"/>
            <w:hideMark/>
          </w:tcPr>
          <w:p w:rsidR="009D6197" w:rsidRPr="009D6197" w:rsidP="009D6197">
            <w:pPr>
              <w:spacing w:after="0" w:line="240" w:lineRule="auto"/>
              <w:jc w:val="right"/>
              <w:rPr>
                <w:rFonts w:ascii="Arial" w:eastAsia="Times New Roman" w:hAnsi="Arial" w:cs="Arial"/>
                <w:color w:val="000000"/>
                <w:lang w:eastAsia="en-GB"/>
              </w:rPr>
            </w:pPr>
            <w:r w:rsidRPr="009D6197">
              <w:rPr>
                <w:rFonts w:ascii="Arial" w:eastAsia="Times New Roman" w:hAnsi="Arial" w:cstheme="minorHAnsi"/>
                <w:bCs/>
                <w:color w:val="000000"/>
                <w:lang w:eastAsia="en-GB"/>
              </w:rPr>
              <w:t xml:space="preserve">81 </w:t>
            </w:r>
          </w:p>
        </w:tc>
        <w:tc>
          <w:tcPr>
            <w:tcW w:w="1439" w:type="dxa"/>
            <w:tcBorders>
              <w:top w:val="nil"/>
              <w:left w:val="nil"/>
              <w:bottom w:val="single" w:sz="4" w:space="0" w:color="auto"/>
              <w:right w:val="single" w:sz="4" w:space="0" w:color="auto"/>
            </w:tcBorders>
            <w:shd w:val="clear" w:color="auto" w:fill="auto"/>
            <w:noWrap/>
            <w:vAlign w:val="center"/>
            <w:hideMark/>
          </w:tcPr>
          <w:p w:rsidR="009D6197" w:rsidRPr="009D6197" w:rsidP="009D6197">
            <w:pPr>
              <w:spacing w:after="0" w:line="240" w:lineRule="auto"/>
              <w:jc w:val="right"/>
              <w:rPr>
                <w:rFonts w:ascii="Arial" w:eastAsia="Times New Roman" w:hAnsi="Arial" w:cs="Arial"/>
                <w:color w:val="000000"/>
                <w:lang w:eastAsia="en-GB"/>
              </w:rPr>
            </w:pPr>
            <w:r w:rsidRPr="009D6197">
              <w:rPr>
                <w:rFonts w:ascii="Arial" w:eastAsia="Times New Roman" w:hAnsi="Arial" w:cstheme="minorHAnsi"/>
                <w:bCs/>
                <w:color w:val="000000"/>
                <w:lang w:eastAsia="en-GB"/>
              </w:rPr>
              <w:t xml:space="preserve">-  </w:t>
            </w:r>
          </w:p>
        </w:tc>
        <w:tc>
          <w:tcPr>
            <w:tcW w:w="1581" w:type="dxa"/>
            <w:tcBorders>
              <w:top w:val="nil"/>
              <w:left w:val="nil"/>
              <w:bottom w:val="single" w:sz="4" w:space="0" w:color="auto"/>
              <w:right w:val="single" w:sz="4" w:space="0" w:color="auto"/>
            </w:tcBorders>
            <w:shd w:val="clear" w:color="auto" w:fill="auto"/>
            <w:vAlign w:val="center"/>
            <w:hideMark/>
          </w:tcPr>
          <w:p w:rsidR="009D6197" w:rsidRPr="009D6197" w:rsidP="009D6197">
            <w:pPr>
              <w:spacing w:after="0" w:line="240" w:lineRule="auto"/>
              <w:jc w:val="center"/>
              <w:rPr>
                <w:rFonts w:ascii="Arial" w:eastAsia="Times New Roman" w:hAnsi="Arial" w:cs="Arial"/>
                <w:color w:val="000000"/>
                <w:lang w:eastAsia="en-GB"/>
              </w:rPr>
            </w:pPr>
            <w:r w:rsidRPr="009D6197">
              <w:rPr>
                <w:rFonts w:ascii="Arial" w:eastAsia="Times New Roman" w:hAnsi="Arial" w:cstheme="minorHAnsi"/>
                <w:bCs/>
                <w:color w:val="000000"/>
                <w:lang w:eastAsia="en-GB"/>
              </w:rPr>
              <w:t>EMD</w:t>
            </w:r>
          </w:p>
        </w:tc>
        <w:tc>
          <w:tcPr>
            <w:tcW w:w="1736" w:type="dxa"/>
            <w:tcBorders>
              <w:top w:val="nil"/>
              <w:left w:val="nil"/>
              <w:bottom w:val="single" w:sz="4" w:space="0" w:color="auto"/>
              <w:right w:val="single" w:sz="4" w:space="0" w:color="auto"/>
            </w:tcBorders>
            <w:shd w:val="clear" w:color="auto" w:fill="auto"/>
            <w:vAlign w:val="center"/>
            <w:hideMark/>
          </w:tcPr>
          <w:p w:rsidR="009D6197" w:rsidRPr="009D6197" w:rsidP="009D6197">
            <w:pPr>
              <w:spacing w:after="0" w:line="240" w:lineRule="auto"/>
              <w:jc w:val="center"/>
              <w:rPr>
                <w:rFonts w:ascii="Arial" w:eastAsia="Times New Roman" w:hAnsi="Arial" w:cs="Arial"/>
                <w:color w:val="000000"/>
                <w:lang w:eastAsia="en-GB"/>
              </w:rPr>
            </w:pPr>
            <w:r w:rsidRPr="009D6197">
              <w:rPr>
                <w:rFonts w:ascii="Arial" w:eastAsia="Times New Roman" w:hAnsi="Arial" w:cstheme="minorHAnsi"/>
                <w:bCs/>
                <w:color w:val="000000"/>
                <w:lang w:eastAsia="en-GB"/>
              </w:rPr>
              <w:t>31st July 2021</w:t>
            </w:r>
          </w:p>
        </w:tc>
      </w:tr>
      <w:tr w:rsidTr="00756FF4">
        <w:tblPrEx>
          <w:tblW w:w="9100" w:type="dxa"/>
          <w:tblLook w:val="04A0"/>
        </w:tblPrEx>
        <w:trPr>
          <w:trHeight w:val="855"/>
        </w:trPr>
        <w:tc>
          <w:tcPr>
            <w:tcW w:w="2905" w:type="dxa"/>
            <w:tcBorders>
              <w:top w:val="nil"/>
              <w:left w:val="single" w:sz="4" w:space="0" w:color="auto"/>
              <w:bottom w:val="single" w:sz="4" w:space="0" w:color="auto"/>
              <w:right w:val="single" w:sz="4" w:space="0" w:color="auto"/>
            </w:tcBorders>
            <w:shd w:val="clear" w:color="auto" w:fill="auto"/>
            <w:vAlign w:val="center"/>
            <w:hideMark/>
          </w:tcPr>
          <w:p w:rsidR="009D6197" w:rsidRPr="009D6197" w:rsidP="009D6197">
            <w:pPr>
              <w:spacing w:after="0" w:line="240" w:lineRule="auto"/>
              <w:rPr>
                <w:rFonts w:ascii="Arial" w:eastAsia="Times New Roman" w:hAnsi="Arial" w:cs="Arial"/>
                <w:color w:val="000000"/>
                <w:lang w:eastAsia="en-GB"/>
              </w:rPr>
            </w:pPr>
            <w:r w:rsidRPr="009D6197">
              <w:rPr>
                <w:rFonts w:ascii="Arial" w:eastAsia="Times New Roman" w:hAnsi="Arial" w:cstheme="minorHAnsi"/>
                <w:bCs/>
                <w:color w:val="000000"/>
                <w:lang w:eastAsia="en-GB"/>
              </w:rPr>
              <w:t>Worden Park infrastructure and landscaping</w:t>
            </w:r>
          </w:p>
        </w:tc>
        <w:tc>
          <w:tcPr>
            <w:tcW w:w="1439" w:type="dxa"/>
            <w:tcBorders>
              <w:top w:val="nil"/>
              <w:left w:val="nil"/>
              <w:bottom w:val="single" w:sz="4" w:space="0" w:color="auto"/>
              <w:right w:val="single" w:sz="4" w:space="0" w:color="auto"/>
            </w:tcBorders>
            <w:shd w:val="clear" w:color="auto" w:fill="auto"/>
            <w:noWrap/>
            <w:vAlign w:val="center"/>
            <w:hideMark/>
          </w:tcPr>
          <w:p w:rsidR="009D6197" w:rsidRPr="009D6197" w:rsidP="009D6197">
            <w:pPr>
              <w:spacing w:after="0" w:line="240" w:lineRule="auto"/>
              <w:jc w:val="right"/>
              <w:rPr>
                <w:rFonts w:ascii="Arial" w:eastAsia="Times New Roman" w:hAnsi="Arial" w:cs="Arial"/>
                <w:color w:val="000000"/>
                <w:lang w:eastAsia="en-GB"/>
              </w:rPr>
            </w:pPr>
            <w:r w:rsidRPr="009D6197">
              <w:rPr>
                <w:rFonts w:ascii="Arial" w:eastAsia="Times New Roman" w:hAnsi="Arial" w:cstheme="minorHAnsi"/>
                <w:bCs/>
                <w:color w:val="000000"/>
                <w:lang w:eastAsia="en-GB"/>
              </w:rPr>
              <w:t>(82)</w:t>
            </w:r>
          </w:p>
        </w:tc>
        <w:tc>
          <w:tcPr>
            <w:tcW w:w="1439" w:type="dxa"/>
            <w:tcBorders>
              <w:top w:val="nil"/>
              <w:left w:val="nil"/>
              <w:bottom w:val="single" w:sz="4" w:space="0" w:color="auto"/>
              <w:right w:val="single" w:sz="4" w:space="0" w:color="auto"/>
            </w:tcBorders>
            <w:shd w:val="clear" w:color="auto" w:fill="auto"/>
            <w:noWrap/>
            <w:vAlign w:val="center"/>
            <w:hideMark/>
          </w:tcPr>
          <w:p w:rsidR="009D6197" w:rsidRPr="009D6197" w:rsidP="009D6197">
            <w:pPr>
              <w:spacing w:after="0" w:line="240" w:lineRule="auto"/>
              <w:jc w:val="right"/>
              <w:rPr>
                <w:rFonts w:ascii="Arial" w:eastAsia="Times New Roman" w:hAnsi="Arial" w:cs="Arial"/>
                <w:color w:val="000000"/>
                <w:lang w:eastAsia="en-GB"/>
              </w:rPr>
            </w:pPr>
            <w:r w:rsidRPr="009D6197">
              <w:rPr>
                <w:rFonts w:ascii="Arial" w:eastAsia="Times New Roman" w:hAnsi="Arial" w:cstheme="minorHAnsi"/>
                <w:bCs/>
                <w:color w:val="000000"/>
                <w:lang w:eastAsia="en-GB"/>
              </w:rPr>
              <w:t xml:space="preserve">-  </w:t>
            </w:r>
          </w:p>
        </w:tc>
        <w:tc>
          <w:tcPr>
            <w:tcW w:w="1581" w:type="dxa"/>
            <w:tcBorders>
              <w:top w:val="nil"/>
              <w:left w:val="nil"/>
              <w:bottom w:val="single" w:sz="4" w:space="0" w:color="auto"/>
              <w:right w:val="single" w:sz="4" w:space="0" w:color="auto"/>
            </w:tcBorders>
            <w:shd w:val="clear" w:color="auto" w:fill="auto"/>
            <w:vAlign w:val="center"/>
            <w:hideMark/>
          </w:tcPr>
          <w:p w:rsidR="009D6197" w:rsidRPr="009D6197" w:rsidP="009D6197">
            <w:pPr>
              <w:spacing w:after="0" w:line="240" w:lineRule="auto"/>
              <w:jc w:val="center"/>
              <w:rPr>
                <w:rFonts w:ascii="Arial" w:eastAsia="Times New Roman" w:hAnsi="Arial" w:cs="Arial"/>
                <w:color w:val="000000"/>
                <w:lang w:eastAsia="en-GB"/>
              </w:rPr>
            </w:pPr>
            <w:r w:rsidRPr="009D6197">
              <w:rPr>
                <w:rFonts w:ascii="Arial" w:eastAsia="Times New Roman" w:hAnsi="Arial" w:cstheme="minorHAnsi"/>
                <w:bCs/>
                <w:color w:val="000000"/>
                <w:lang w:eastAsia="en-GB"/>
              </w:rPr>
              <w:t>Council</w:t>
            </w:r>
          </w:p>
        </w:tc>
        <w:tc>
          <w:tcPr>
            <w:tcW w:w="1736" w:type="dxa"/>
            <w:tcBorders>
              <w:top w:val="nil"/>
              <w:left w:val="nil"/>
              <w:bottom w:val="single" w:sz="4" w:space="0" w:color="auto"/>
              <w:right w:val="single" w:sz="4" w:space="0" w:color="auto"/>
            </w:tcBorders>
            <w:shd w:val="clear" w:color="auto" w:fill="auto"/>
            <w:vAlign w:val="center"/>
            <w:hideMark/>
          </w:tcPr>
          <w:p w:rsidR="009D6197" w:rsidRPr="009D6197" w:rsidP="009D6197">
            <w:pPr>
              <w:spacing w:after="0" w:line="240" w:lineRule="auto"/>
              <w:jc w:val="center"/>
              <w:rPr>
                <w:rFonts w:ascii="Arial" w:eastAsia="Times New Roman" w:hAnsi="Arial" w:cs="Arial"/>
                <w:color w:val="000000"/>
                <w:lang w:eastAsia="en-GB"/>
              </w:rPr>
            </w:pPr>
            <w:r w:rsidRPr="009D6197">
              <w:rPr>
                <w:rFonts w:ascii="Arial" w:eastAsia="Times New Roman" w:hAnsi="Arial" w:cstheme="minorHAnsi"/>
                <w:bCs/>
                <w:color w:val="000000"/>
                <w:lang w:eastAsia="en-GB"/>
              </w:rPr>
              <w:t>21st July 2021</w:t>
            </w:r>
          </w:p>
        </w:tc>
      </w:tr>
      <w:tr w:rsidTr="00756FF4">
        <w:tblPrEx>
          <w:tblW w:w="9100" w:type="dxa"/>
          <w:tblLook w:val="04A0"/>
        </w:tblPrEx>
        <w:trPr>
          <w:trHeight w:val="570"/>
        </w:trPr>
        <w:tc>
          <w:tcPr>
            <w:tcW w:w="2905" w:type="dxa"/>
            <w:tcBorders>
              <w:top w:val="nil"/>
              <w:left w:val="single" w:sz="4" w:space="0" w:color="auto"/>
              <w:bottom w:val="single" w:sz="4" w:space="0" w:color="auto"/>
              <w:right w:val="single" w:sz="4" w:space="0" w:color="auto"/>
            </w:tcBorders>
            <w:shd w:val="clear" w:color="auto" w:fill="auto"/>
            <w:vAlign w:val="center"/>
            <w:hideMark/>
          </w:tcPr>
          <w:p w:rsidR="009D6197" w:rsidRPr="009D6197" w:rsidP="009D6197">
            <w:pPr>
              <w:spacing w:after="0" w:line="240" w:lineRule="auto"/>
              <w:rPr>
                <w:rFonts w:ascii="Arial" w:eastAsia="Times New Roman" w:hAnsi="Arial" w:cs="Arial"/>
                <w:color w:val="000000"/>
                <w:lang w:eastAsia="en-GB"/>
              </w:rPr>
            </w:pPr>
            <w:r w:rsidRPr="009D6197">
              <w:rPr>
                <w:rFonts w:ascii="Arial" w:eastAsia="Times New Roman" w:hAnsi="Arial" w:cstheme="minorHAnsi"/>
                <w:bCs/>
                <w:color w:val="000000"/>
                <w:lang w:eastAsia="en-GB"/>
              </w:rPr>
              <w:t>Worden Hall refurbishment</w:t>
            </w:r>
          </w:p>
        </w:tc>
        <w:tc>
          <w:tcPr>
            <w:tcW w:w="1439" w:type="dxa"/>
            <w:tcBorders>
              <w:top w:val="nil"/>
              <w:left w:val="nil"/>
              <w:bottom w:val="single" w:sz="4" w:space="0" w:color="auto"/>
              <w:right w:val="single" w:sz="4" w:space="0" w:color="auto"/>
            </w:tcBorders>
            <w:shd w:val="clear" w:color="auto" w:fill="auto"/>
            <w:noWrap/>
            <w:vAlign w:val="center"/>
            <w:hideMark/>
          </w:tcPr>
          <w:p w:rsidR="009D6197" w:rsidRPr="009D6197" w:rsidP="009D6197">
            <w:pPr>
              <w:spacing w:after="0" w:line="240" w:lineRule="auto"/>
              <w:jc w:val="right"/>
              <w:rPr>
                <w:rFonts w:ascii="Arial" w:eastAsia="Times New Roman" w:hAnsi="Arial" w:cs="Arial"/>
                <w:color w:val="000000"/>
                <w:lang w:eastAsia="en-GB"/>
              </w:rPr>
            </w:pPr>
            <w:r w:rsidRPr="009D6197">
              <w:rPr>
                <w:rFonts w:ascii="Arial" w:eastAsia="Times New Roman" w:hAnsi="Arial" w:cstheme="minorHAnsi"/>
                <w:bCs/>
                <w:color w:val="000000"/>
                <w:lang w:eastAsia="en-GB"/>
              </w:rPr>
              <w:t xml:space="preserve">745 </w:t>
            </w:r>
          </w:p>
        </w:tc>
        <w:tc>
          <w:tcPr>
            <w:tcW w:w="1439" w:type="dxa"/>
            <w:tcBorders>
              <w:top w:val="nil"/>
              <w:left w:val="nil"/>
              <w:bottom w:val="single" w:sz="4" w:space="0" w:color="auto"/>
              <w:right w:val="single" w:sz="4" w:space="0" w:color="auto"/>
            </w:tcBorders>
            <w:shd w:val="clear" w:color="auto" w:fill="auto"/>
            <w:noWrap/>
            <w:vAlign w:val="center"/>
            <w:hideMark/>
          </w:tcPr>
          <w:p w:rsidR="009D6197" w:rsidRPr="009D6197" w:rsidP="009D6197">
            <w:pPr>
              <w:spacing w:after="0" w:line="240" w:lineRule="auto"/>
              <w:jc w:val="right"/>
              <w:rPr>
                <w:rFonts w:ascii="Arial" w:eastAsia="Times New Roman" w:hAnsi="Arial" w:cs="Arial"/>
                <w:color w:val="000000"/>
                <w:lang w:eastAsia="en-GB"/>
              </w:rPr>
            </w:pPr>
            <w:r w:rsidRPr="009D6197">
              <w:rPr>
                <w:rFonts w:ascii="Arial" w:eastAsia="Times New Roman" w:hAnsi="Arial" w:cstheme="minorHAnsi"/>
                <w:bCs/>
                <w:color w:val="000000"/>
                <w:lang w:eastAsia="en-GB"/>
              </w:rPr>
              <w:t xml:space="preserve">-  </w:t>
            </w:r>
          </w:p>
        </w:tc>
        <w:tc>
          <w:tcPr>
            <w:tcW w:w="1581" w:type="dxa"/>
            <w:tcBorders>
              <w:top w:val="nil"/>
              <w:left w:val="nil"/>
              <w:bottom w:val="single" w:sz="4" w:space="0" w:color="auto"/>
              <w:right w:val="single" w:sz="4" w:space="0" w:color="auto"/>
            </w:tcBorders>
            <w:shd w:val="clear" w:color="auto" w:fill="auto"/>
            <w:vAlign w:val="center"/>
            <w:hideMark/>
          </w:tcPr>
          <w:p w:rsidR="009D6197" w:rsidRPr="009D6197" w:rsidP="009D6197">
            <w:pPr>
              <w:spacing w:after="0" w:line="240" w:lineRule="auto"/>
              <w:jc w:val="center"/>
              <w:rPr>
                <w:rFonts w:ascii="Arial" w:eastAsia="Times New Roman" w:hAnsi="Arial" w:cs="Arial"/>
                <w:color w:val="000000"/>
                <w:lang w:eastAsia="en-GB"/>
              </w:rPr>
            </w:pPr>
            <w:r w:rsidRPr="009D6197">
              <w:rPr>
                <w:rFonts w:ascii="Arial" w:eastAsia="Times New Roman" w:hAnsi="Arial" w:cstheme="minorHAnsi"/>
                <w:bCs/>
                <w:color w:val="000000"/>
                <w:lang w:eastAsia="en-GB"/>
              </w:rPr>
              <w:t>Council</w:t>
            </w:r>
          </w:p>
        </w:tc>
        <w:tc>
          <w:tcPr>
            <w:tcW w:w="1736" w:type="dxa"/>
            <w:tcBorders>
              <w:top w:val="nil"/>
              <w:left w:val="nil"/>
              <w:bottom w:val="single" w:sz="4" w:space="0" w:color="auto"/>
              <w:right w:val="single" w:sz="4" w:space="0" w:color="auto"/>
            </w:tcBorders>
            <w:shd w:val="clear" w:color="auto" w:fill="auto"/>
            <w:vAlign w:val="center"/>
            <w:hideMark/>
          </w:tcPr>
          <w:p w:rsidR="009D6197" w:rsidRPr="009D6197" w:rsidP="009D6197">
            <w:pPr>
              <w:spacing w:after="0" w:line="240" w:lineRule="auto"/>
              <w:jc w:val="center"/>
              <w:rPr>
                <w:rFonts w:ascii="Arial" w:eastAsia="Times New Roman" w:hAnsi="Arial" w:cs="Arial"/>
                <w:color w:val="000000"/>
                <w:lang w:eastAsia="en-GB"/>
              </w:rPr>
            </w:pPr>
            <w:r w:rsidRPr="009D6197">
              <w:rPr>
                <w:rFonts w:ascii="Arial" w:eastAsia="Times New Roman" w:hAnsi="Arial" w:cstheme="minorHAnsi"/>
                <w:bCs/>
                <w:color w:val="000000"/>
                <w:lang w:eastAsia="en-GB"/>
              </w:rPr>
              <w:t>21st July 2021</w:t>
            </w:r>
          </w:p>
        </w:tc>
      </w:tr>
      <w:tr w:rsidTr="00756FF4">
        <w:tblPrEx>
          <w:tblW w:w="9100" w:type="dxa"/>
          <w:tblLook w:val="04A0"/>
        </w:tblPrEx>
        <w:trPr>
          <w:trHeight w:val="570"/>
        </w:trPr>
        <w:tc>
          <w:tcPr>
            <w:tcW w:w="2905" w:type="dxa"/>
            <w:tcBorders>
              <w:top w:val="nil"/>
              <w:left w:val="single" w:sz="4" w:space="0" w:color="auto"/>
              <w:bottom w:val="single" w:sz="4" w:space="0" w:color="auto"/>
              <w:right w:val="single" w:sz="4" w:space="0" w:color="auto"/>
            </w:tcBorders>
            <w:shd w:val="clear" w:color="auto" w:fill="auto"/>
            <w:vAlign w:val="center"/>
            <w:hideMark/>
          </w:tcPr>
          <w:p w:rsidR="009D6197" w:rsidRPr="009D6197" w:rsidP="009D6197">
            <w:pPr>
              <w:spacing w:after="0" w:line="240" w:lineRule="auto"/>
              <w:rPr>
                <w:rFonts w:ascii="Arial" w:eastAsia="Times New Roman" w:hAnsi="Arial" w:cs="Arial"/>
                <w:color w:val="000000"/>
                <w:lang w:eastAsia="en-GB"/>
              </w:rPr>
            </w:pPr>
            <w:r w:rsidRPr="009D6197">
              <w:rPr>
                <w:rFonts w:ascii="Arial" w:eastAsia="Times New Roman" w:hAnsi="Arial" w:cstheme="minorHAnsi"/>
                <w:bCs/>
                <w:color w:val="000000"/>
                <w:lang w:eastAsia="en-GB"/>
              </w:rPr>
              <w:t>Open Spaces – Bent Lane</w:t>
            </w:r>
          </w:p>
        </w:tc>
        <w:tc>
          <w:tcPr>
            <w:tcW w:w="1439" w:type="dxa"/>
            <w:tcBorders>
              <w:top w:val="nil"/>
              <w:left w:val="nil"/>
              <w:bottom w:val="single" w:sz="4" w:space="0" w:color="auto"/>
              <w:right w:val="single" w:sz="4" w:space="0" w:color="auto"/>
            </w:tcBorders>
            <w:shd w:val="clear" w:color="auto" w:fill="auto"/>
            <w:noWrap/>
            <w:vAlign w:val="center"/>
            <w:hideMark/>
          </w:tcPr>
          <w:p w:rsidR="009D6197" w:rsidRPr="009D6197" w:rsidP="009D6197">
            <w:pPr>
              <w:spacing w:after="0" w:line="240" w:lineRule="auto"/>
              <w:jc w:val="right"/>
              <w:rPr>
                <w:rFonts w:ascii="Arial" w:eastAsia="Times New Roman" w:hAnsi="Arial" w:cs="Arial"/>
                <w:color w:val="000000"/>
                <w:lang w:eastAsia="en-GB"/>
              </w:rPr>
            </w:pPr>
            <w:r w:rsidRPr="009D6197">
              <w:rPr>
                <w:rFonts w:ascii="Arial" w:eastAsia="Times New Roman" w:hAnsi="Arial" w:cstheme="minorHAnsi"/>
                <w:bCs/>
                <w:color w:val="000000"/>
                <w:lang w:eastAsia="en-GB"/>
              </w:rPr>
              <w:t xml:space="preserve">139 </w:t>
            </w:r>
          </w:p>
        </w:tc>
        <w:tc>
          <w:tcPr>
            <w:tcW w:w="1439" w:type="dxa"/>
            <w:tcBorders>
              <w:top w:val="nil"/>
              <w:left w:val="nil"/>
              <w:bottom w:val="single" w:sz="4" w:space="0" w:color="auto"/>
              <w:right w:val="single" w:sz="4" w:space="0" w:color="auto"/>
            </w:tcBorders>
            <w:shd w:val="clear" w:color="auto" w:fill="auto"/>
            <w:noWrap/>
            <w:vAlign w:val="center"/>
            <w:hideMark/>
          </w:tcPr>
          <w:p w:rsidR="009D6197" w:rsidRPr="009D6197" w:rsidP="009D6197">
            <w:pPr>
              <w:spacing w:after="0" w:line="240" w:lineRule="auto"/>
              <w:jc w:val="right"/>
              <w:rPr>
                <w:rFonts w:ascii="Arial" w:eastAsia="Times New Roman" w:hAnsi="Arial" w:cs="Arial"/>
                <w:color w:val="000000"/>
                <w:lang w:eastAsia="en-GB"/>
              </w:rPr>
            </w:pPr>
            <w:r w:rsidRPr="009D6197">
              <w:rPr>
                <w:rFonts w:ascii="Arial" w:eastAsia="Times New Roman" w:hAnsi="Arial" w:cstheme="minorHAnsi"/>
                <w:bCs/>
                <w:color w:val="000000"/>
                <w:lang w:eastAsia="en-GB"/>
              </w:rPr>
              <w:t xml:space="preserve">-  </w:t>
            </w:r>
          </w:p>
        </w:tc>
        <w:tc>
          <w:tcPr>
            <w:tcW w:w="1581" w:type="dxa"/>
            <w:tcBorders>
              <w:top w:val="nil"/>
              <w:left w:val="nil"/>
              <w:bottom w:val="single" w:sz="4" w:space="0" w:color="auto"/>
              <w:right w:val="single" w:sz="4" w:space="0" w:color="auto"/>
            </w:tcBorders>
            <w:shd w:val="clear" w:color="auto" w:fill="auto"/>
            <w:vAlign w:val="center"/>
            <w:hideMark/>
          </w:tcPr>
          <w:p w:rsidR="009D6197" w:rsidRPr="009D6197" w:rsidP="009D6197">
            <w:pPr>
              <w:spacing w:after="0" w:line="240" w:lineRule="auto"/>
              <w:jc w:val="center"/>
              <w:rPr>
                <w:rFonts w:ascii="Arial" w:eastAsia="Times New Roman" w:hAnsi="Arial" w:cs="Arial"/>
                <w:color w:val="000000"/>
                <w:lang w:eastAsia="en-GB"/>
              </w:rPr>
            </w:pPr>
            <w:r w:rsidRPr="009D6197">
              <w:rPr>
                <w:rFonts w:ascii="Arial" w:eastAsia="Times New Roman" w:hAnsi="Arial" w:cstheme="minorHAnsi"/>
                <w:bCs/>
                <w:color w:val="000000"/>
                <w:lang w:eastAsia="en-GB"/>
              </w:rPr>
              <w:t>Council</w:t>
            </w:r>
          </w:p>
        </w:tc>
        <w:tc>
          <w:tcPr>
            <w:tcW w:w="1736" w:type="dxa"/>
            <w:tcBorders>
              <w:top w:val="nil"/>
              <w:left w:val="nil"/>
              <w:bottom w:val="single" w:sz="4" w:space="0" w:color="auto"/>
              <w:right w:val="single" w:sz="4" w:space="0" w:color="auto"/>
            </w:tcBorders>
            <w:shd w:val="clear" w:color="auto" w:fill="auto"/>
            <w:vAlign w:val="center"/>
            <w:hideMark/>
          </w:tcPr>
          <w:p w:rsidR="009D6197" w:rsidRPr="009D6197" w:rsidP="009D6197">
            <w:pPr>
              <w:spacing w:after="0" w:line="240" w:lineRule="auto"/>
              <w:jc w:val="center"/>
              <w:rPr>
                <w:rFonts w:ascii="Arial" w:eastAsia="Times New Roman" w:hAnsi="Arial" w:cs="Arial"/>
                <w:color w:val="000000"/>
                <w:lang w:eastAsia="en-GB"/>
              </w:rPr>
            </w:pPr>
            <w:r w:rsidRPr="009D6197">
              <w:rPr>
                <w:rFonts w:ascii="Arial" w:eastAsia="Times New Roman" w:hAnsi="Arial" w:cstheme="minorHAnsi"/>
                <w:bCs/>
                <w:color w:val="000000"/>
                <w:lang w:eastAsia="en-GB"/>
              </w:rPr>
              <w:t>21st July 2021</w:t>
            </w:r>
          </w:p>
        </w:tc>
      </w:tr>
      <w:tr w:rsidTr="00756FF4">
        <w:tblPrEx>
          <w:tblW w:w="9100" w:type="dxa"/>
          <w:tblLook w:val="04A0"/>
        </w:tblPrEx>
        <w:trPr>
          <w:trHeight w:val="285"/>
        </w:trPr>
        <w:tc>
          <w:tcPr>
            <w:tcW w:w="2905" w:type="dxa"/>
            <w:tcBorders>
              <w:top w:val="nil"/>
              <w:left w:val="single" w:sz="4" w:space="0" w:color="auto"/>
              <w:bottom w:val="single" w:sz="4" w:space="0" w:color="auto"/>
              <w:right w:val="single" w:sz="4" w:space="0" w:color="auto"/>
            </w:tcBorders>
            <w:shd w:val="clear" w:color="auto" w:fill="auto"/>
            <w:vAlign w:val="center"/>
            <w:hideMark/>
          </w:tcPr>
          <w:p w:rsidR="009D6197" w:rsidRPr="009D6197" w:rsidP="009D6197">
            <w:pPr>
              <w:spacing w:after="0" w:line="240" w:lineRule="auto"/>
              <w:rPr>
                <w:rFonts w:ascii="Arial" w:eastAsia="Times New Roman" w:hAnsi="Arial" w:cs="Arial"/>
                <w:color w:val="000000"/>
                <w:lang w:eastAsia="en-GB"/>
              </w:rPr>
            </w:pPr>
            <w:r w:rsidRPr="009D6197">
              <w:rPr>
                <w:rFonts w:ascii="Arial" w:eastAsia="Times New Roman" w:hAnsi="Arial" w:cstheme="minorHAnsi"/>
                <w:bCs/>
                <w:color w:val="000000"/>
                <w:lang w:eastAsia="en-GB"/>
              </w:rPr>
              <w:t>Sports Pitch Hub</w:t>
            </w:r>
          </w:p>
        </w:tc>
        <w:tc>
          <w:tcPr>
            <w:tcW w:w="1439" w:type="dxa"/>
            <w:tcBorders>
              <w:top w:val="nil"/>
              <w:left w:val="nil"/>
              <w:bottom w:val="single" w:sz="4" w:space="0" w:color="auto"/>
              <w:right w:val="single" w:sz="4" w:space="0" w:color="auto"/>
            </w:tcBorders>
            <w:shd w:val="clear" w:color="auto" w:fill="auto"/>
            <w:noWrap/>
            <w:vAlign w:val="center"/>
            <w:hideMark/>
          </w:tcPr>
          <w:p w:rsidR="009D6197" w:rsidRPr="009D6197" w:rsidP="009D6197">
            <w:pPr>
              <w:spacing w:after="0" w:line="240" w:lineRule="auto"/>
              <w:jc w:val="right"/>
              <w:rPr>
                <w:rFonts w:ascii="Arial" w:eastAsia="Times New Roman" w:hAnsi="Arial" w:cs="Arial"/>
                <w:color w:val="000000"/>
                <w:lang w:eastAsia="en-GB"/>
              </w:rPr>
            </w:pPr>
            <w:r w:rsidRPr="009D6197">
              <w:rPr>
                <w:rFonts w:ascii="Arial" w:eastAsia="Times New Roman" w:hAnsi="Arial" w:cstheme="minorHAnsi"/>
                <w:bCs/>
                <w:color w:val="000000"/>
                <w:lang w:eastAsia="en-GB"/>
              </w:rPr>
              <w:t>(389)</w:t>
            </w:r>
          </w:p>
        </w:tc>
        <w:tc>
          <w:tcPr>
            <w:tcW w:w="1439" w:type="dxa"/>
            <w:tcBorders>
              <w:top w:val="nil"/>
              <w:left w:val="nil"/>
              <w:bottom w:val="single" w:sz="4" w:space="0" w:color="auto"/>
              <w:right w:val="single" w:sz="4" w:space="0" w:color="auto"/>
            </w:tcBorders>
            <w:shd w:val="clear" w:color="auto" w:fill="auto"/>
            <w:noWrap/>
            <w:vAlign w:val="center"/>
            <w:hideMark/>
          </w:tcPr>
          <w:p w:rsidR="009D6197" w:rsidRPr="009D6197" w:rsidP="009D6197">
            <w:pPr>
              <w:spacing w:after="0" w:line="240" w:lineRule="auto"/>
              <w:jc w:val="right"/>
              <w:rPr>
                <w:rFonts w:ascii="Arial" w:eastAsia="Times New Roman" w:hAnsi="Arial" w:cs="Arial"/>
                <w:color w:val="000000"/>
                <w:lang w:eastAsia="en-GB"/>
              </w:rPr>
            </w:pPr>
            <w:r w:rsidRPr="009D6197">
              <w:rPr>
                <w:rFonts w:ascii="Arial" w:eastAsia="Times New Roman" w:hAnsi="Arial" w:cstheme="minorHAnsi"/>
                <w:bCs/>
                <w:color w:val="000000"/>
                <w:lang w:eastAsia="en-GB"/>
              </w:rPr>
              <w:t xml:space="preserve">-  </w:t>
            </w:r>
          </w:p>
        </w:tc>
        <w:tc>
          <w:tcPr>
            <w:tcW w:w="1581" w:type="dxa"/>
            <w:tcBorders>
              <w:top w:val="nil"/>
              <w:left w:val="nil"/>
              <w:bottom w:val="single" w:sz="4" w:space="0" w:color="auto"/>
              <w:right w:val="single" w:sz="4" w:space="0" w:color="auto"/>
            </w:tcBorders>
            <w:shd w:val="clear" w:color="auto" w:fill="auto"/>
            <w:vAlign w:val="center"/>
            <w:hideMark/>
          </w:tcPr>
          <w:p w:rsidR="009D6197" w:rsidRPr="009D6197" w:rsidP="009D6197">
            <w:pPr>
              <w:spacing w:after="0" w:line="240" w:lineRule="auto"/>
              <w:jc w:val="center"/>
              <w:rPr>
                <w:rFonts w:ascii="Arial" w:eastAsia="Times New Roman" w:hAnsi="Arial" w:cs="Arial"/>
                <w:color w:val="000000"/>
                <w:lang w:eastAsia="en-GB"/>
              </w:rPr>
            </w:pPr>
            <w:r w:rsidRPr="009D6197">
              <w:rPr>
                <w:rFonts w:ascii="Arial" w:eastAsia="Times New Roman" w:hAnsi="Arial" w:cstheme="minorHAnsi"/>
                <w:bCs/>
                <w:color w:val="000000"/>
                <w:lang w:eastAsia="en-GB"/>
              </w:rPr>
              <w:t>Cabinet</w:t>
            </w:r>
            <w:r>
              <w:rPr>
                <w:rFonts w:ascii="Arial" w:eastAsia="Times New Roman" w:hAnsi="Arial" w:cstheme="minorHAnsi"/>
                <w:bCs/>
                <w:color w:val="000000"/>
                <w:lang w:eastAsia="en-GB"/>
              </w:rPr>
              <w:t xml:space="preserve"> </w:t>
            </w:r>
          </w:p>
        </w:tc>
        <w:tc>
          <w:tcPr>
            <w:tcW w:w="1736" w:type="dxa"/>
            <w:tcBorders>
              <w:top w:val="nil"/>
              <w:left w:val="nil"/>
              <w:bottom w:val="single" w:sz="4" w:space="0" w:color="auto"/>
              <w:right w:val="single" w:sz="4" w:space="0" w:color="auto"/>
            </w:tcBorders>
            <w:shd w:val="clear" w:color="auto" w:fill="auto"/>
            <w:vAlign w:val="center"/>
            <w:hideMark/>
          </w:tcPr>
          <w:p w:rsidR="009D6197" w:rsidRPr="009D6197" w:rsidP="009D6197">
            <w:pPr>
              <w:spacing w:after="0" w:line="240" w:lineRule="auto"/>
              <w:jc w:val="center"/>
              <w:rPr>
                <w:rFonts w:ascii="Arial" w:eastAsia="Times New Roman" w:hAnsi="Arial" w:cs="Arial"/>
                <w:color w:val="000000"/>
                <w:lang w:eastAsia="en-GB"/>
              </w:rPr>
            </w:pPr>
            <w:r w:rsidRPr="009D6197">
              <w:rPr>
                <w:rFonts w:ascii="Arial" w:eastAsia="Times New Roman" w:hAnsi="Arial" w:cstheme="minorHAnsi"/>
                <w:bCs/>
                <w:color w:val="000000"/>
                <w:lang w:eastAsia="en-GB"/>
              </w:rPr>
              <w:t>16th June 2021</w:t>
            </w:r>
          </w:p>
        </w:tc>
      </w:tr>
      <w:tr w:rsidTr="00756FF4">
        <w:tblPrEx>
          <w:tblW w:w="9100" w:type="dxa"/>
          <w:tblLook w:val="04A0"/>
        </w:tblPrEx>
        <w:trPr>
          <w:trHeight w:val="855"/>
        </w:trPr>
        <w:tc>
          <w:tcPr>
            <w:tcW w:w="2905" w:type="dxa"/>
            <w:tcBorders>
              <w:top w:val="nil"/>
              <w:left w:val="single" w:sz="4" w:space="0" w:color="auto"/>
              <w:bottom w:val="single" w:sz="4" w:space="0" w:color="auto"/>
              <w:right w:val="single" w:sz="4" w:space="0" w:color="auto"/>
            </w:tcBorders>
            <w:shd w:val="clear" w:color="auto" w:fill="auto"/>
            <w:vAlign w:val="center"/>
            <w:hideMark/>
          </w:tcPr>
          <w:p w:rsidR="009D6197" w:rsidRPr="009D6197" w:rsidP="009D6197">
            <w:pPr>
              <w:spacing w:after="0" w:line="240" w:lineRule="auto"/>
              <w:rPr>
                <w:rFonts w:ascii="Arial" w:eastAsia="Times New Roman" w:hAnsi="Arial" w:cs="Arial"/>
                <w:color w:val="000000"/>
                <w:lang w:eastAsia="en-GB"/>
              </w:rPr>
            </w:pPr>
            <w:r w:rsidRPr="009D6197">
              <w:rPr>
                <w:rFonts w:ascii="Arial" w:eastAsia="Times New Roman" w:hAnsi="Arial" w:cstheme="minorHAnsi"/>
                <w:bCs/>
                <w:color w:val="000000"/>
                <w:lang w:eastAsia="en-GB"/>
              </w:rPr>
              <w:t>Council Leisure Facilities (other than leisure centres)</w:t>
            </w:r>
          </w:p>
        </w:tc>
        <w:tc>
          <w:tcPr>
            <w:tcW w:w="1439" w:type="dxa"/>
            <w:tcBorders>
              <w:top w:val="nil"/>
              <w:left w:val="nil"/>
              <w:bottom w:val="single" w:sz="4" w:space="0" w:color="auto"/>
              <w:right w:val="single" w:sz="4" w:space="0" w:color="auto"/>
            </w:tcBorders>
            <w:shd w:val="clear" w:color="auto" w:fill="auto"/>
            <w:noWrap/>
            <w:vAlign w:val="center"/>
            <w:hideMark/>
          </w:tcPr>
          <w:p w:rsidR="009D6197" w:rsidRPr="009D6197" w:rsidP="009D6197">
            <w:pPr>
              <w:spacing w:after="0" w:line="240" w:lineRule="auto"/>
              <w:jc w:val="right"/>
              <w:rPr>
                <w:rFonts w:ascii="Arial" w:eastAsia="Times New Roman" w:hAnsi="Arial" w:cs="Arial"/>
                <w:color w:val="000000"/>
                <w:lang w:eastAsia="en-GB"/>
              </w:rPr>
            </w:pPr>
            <w:r w:rsidRPr="009D6197">
              <w:rPr>
                <w:rFonts w:ascii="Arial" w:eastAsia="Times New Roman" w:hAnsi="Arial" w:cstheme="minorHAnsi"/>
                <w:bCs/>
                <w:color w:val="000000"/>
                <w:lang w:eastAsia="en-GB"/>
              </w:rPr>
              <w:t xml:space="preserve">275 </w:t>
            </w:r>
          </w:p>
        </w:tc>
        <w:tc>
          <w:tcPr>
            <w:tcW w:w="1439" w:type="dxa"/>
            <w:tcBorders>
              <w:top w:val="nil"/>
              <w:left w:val="nil"/>
              <w:bottom w:val="single" w:sz="4" w:space="0" w:color="auto"/>
              <w:right w:val="single" w:sz="4" w:space="0" w:color="auto"/>
            </w:tcBorders>
            <w:shd w:val="clear" w:color="auto" w:fill="auto"/>
            <w:noWrap/>
            <w:vAlign w:val="center"/>
            <w:hideMark/>
          </w:tcPr>
          <w:p w:rsidR="009D6197" w:rsidRPr="009D6197" w:rsidP="009D6197">
            <w:pPr>
              <w:spacing w:after="0" w:line="240" w:lineRule="auto"/>
              <w:jc w:val="right"/>
              <w:rPr>
                <w:rFonts w:ascii="Arial" w:eastAsia="Times New Roman" w:hAnsi="Arial" w:cs="Arial"/>
                <w:color w:val="000000"/>
                <w:lang w:eastAsia="en-GB"/>
              </w:rPr>
            </w:pPr>
            <w:r w:rsidRPr="009D6197">
              <w:rPr>
                <w:rFonts w:ascii="Arial" w:eastAsia="Times New Roman" w:hAnsi="Arial" w:cstheme="minorHAnsi"/>
                <w:bCs/>
                <w:color w:val="000000"/>
                <w:lang w:eastAsia="en-GB"/>
              </w:rPr>
              <w:t xml:space="preserve">-  </w:t>
            </w:r>
          </w:p>
        </w:tc>
        <w:tc>
          <w:tcPr>
            <w:tcW w:w="1581" w:type="dxa"/>
            <w:tcBorders>
              <w:top w:val="nil"/>
              <w:left w:val="nil"/>
              <w:bottom w:val="single" w:sz="4" w:space="0" w:color="auto"/>
              <w:right w:val="single" w:sz="4" w:space="0" w:color="auto"/>
            </w:tcBorders>
            <w:shd w:val="clear" w:color="auto" w:fill="auto"/>
            <w:vAlign w:val="center"/>
            <w:hideMark/>
          </w:tcPr>
          <w:p w:rsidR="009D6197" w:rsidRPr="009D6197" w:rsidP="009D6197">
            <w:pPr>
              <w:spacing w:after="0" w:line="240" w:lineRule="auto"/>
              <w:jc w:val="center"/>
              <w:rPr>
                <w:rFonts w:ascii="Arial" w:eastAsia="Times New Roman" w:hAnsi="Arial" w:cs="Arial"/>
                <w:color w:val="000000"/>
                <w:lang w:eastAsia="en-GB"/>
              </w:rPr>
            </w:pPr>
            <w:r w:rsidRPr="009D6197">
              <w:rPr>
                <w:rFonts w:ascii="Arial" w:eastAsia="Times New Roman" w:hAnsi="Arial" w:cstheme="minorHAnsi"/>
                <w:bCs/>
                <w:color w:val="000000"/>
                <w:lang w:eastAsia="en-GB"/>
              </w:rPr>
              <w:t>Cabinet</w:t>
            </w:r>
          </w:p>
        </w:tc>
        <w:tc>
          <w:tcPr>
            <w:tcW w:w="1736" w:type="dxa"/>
            <w:tcBorders>
              <w:top w:val="nil"/>
              <w:left w:val="nil"/>
              <w:bottom w:val="single" w:sz="4" w:space="0" w:color="auto"/>
              <w:right w:val="single" w:sz="4" w:space="0" w:color="auto"/>
            </w:tcBorders>
            <w:shd w:val="clear" w:color="auto" w:fill="auto"/>
            <w:vAlign w:val="center"/>
            <w:hideMark/>
          </w:tcPr>
          <w:p w:rsidR="009D6197" w:rsidRPr="009D6197" w:rsidP="009D6197">
            <w:pPr>
              <w:spacing w:after="0" w:line="240" w:lineRule="auto"/>
              <w:jc w:val="center"/>
              <w:rPr>
                <w:rFonts w:ascii="Arial" w:eastAsia="Times New Roman" w:hAnsi="Arial" w:cs="Arial"/>
                <w:color w:val="000000"/>
                <w:lang w:eastAsia="en-GB"/>
              </w:rPr>
            </w:pPr>
            <w:r w:rsidRPr="009D6197">
              <w:rPr>
                <w:rFonts w:ascii="Arial" w:eastAsia="Times New Roman" w:hAnsi="Arial" w:cstheme="minorHAnsi"/>
                <w:bCs/>
                <w:color w:val="000000"/>
                <w:lang w:eastAsia="en-GB"/>
              </w:rPr>
              <w:t>16th June 2021</w:t>
            </w:r>
          </w:p>
        </w:tc>
      </w:tr>
      <w:tr w:rsidTr="00B956D8">
        <w:tblPrEx>
          <w:tblW w:w="9100" w:type="dxa"/>
          <w:tblLook w:val="04A0"/>
        </w:tblPrEx>
        <w:trPr>
          <w:trHeight w:val="300"/>
        </w:trPr>
        <w:tc>
          <w:tcPr>
            <w:tcW w:w="9100"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9D6197" w:rsidRPr="009D6197" w:rsidP="009D6197">
            <w:pPr>
              <w:spacing w:after="0" w:line="240" w:lineRule="auto"/>
              <w:rPr>
                <w:rFonts w:ascii="Arial" w:eastAsia="Times New Roman" w:hAnsi="Arial" w:cs="Arial"/>
                <w:b/>
                <w:bCs/>
                <w:color w:val="000000"/>
                <w:lang w:eastAsia="en-GB"/>
              </w:rPr>
            </w:pPr>
            <w:r w:rsidRPr="009D6197">
              <w:rPr>
                <w:rFonts w:ascii="Arial" w:eastAsia="Times New Roman" w:hAnsi="Arial" w:cstheme="minorHAnsi"/>
                <w:b/>
                <w:bCs/>
                <w:color w:val="000000"/>
                <w:lang w:eastAsia="en-GB"/>
              </w:rPr>
              <w:t>An exemplary council</w:t>
            </w:r>
          </w:p>
        </w:tc>
      </w:tr>
      <w:tr w:rsidTr="00756FF4">
        <w:tblPrEx>
          <w:tblW w:w="9100" w:type="dxa"/>
          <w:tblLook w:val="04A0"/>
        </w:tblPrEx>
        <w:trPr>
          <w:trHeight w:val="285"/>
        </w:trPr>
        <w:tc>
          <w:tcPr>
            <w:tcW w:w="2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197" w:rsidRPr="009D6197" w:rsidP="009D6197">
            <w:pPr>
              <w:spacing w:after="0" w:line="240" w:lineRule="auto"/>
              <w:rPr>
                <w:rFonts w:ascii="Arial" w:eastAsia="Times New Roman" w:hAnsi="Arial" w:cs="Arial"/>
                <w:color w:val="000000"/>
                <w:lang w:eastAsia="en-GB"/>
              </w:rPr>
            </w:pPr>
            <w:r w:rsidRPr="009D6197">
              <w:rPr>
                <w:rFonts w:ascii="Arial" w:eastAsia="Times New Roman" w:hAnsi="Arial" w:cstheme="minorHAnsi"/>
                <w:bCs/>
                <w:color w:val="000000"/>
                <w:lang w:eastAsia="en-GB"/>
              </w:rPr>
              <w:t>Corporate Buildings</w:t>
            </w:r>
          </w:p>
        </w:tc>
        <w:tc>
          <w:tcPr>
            <w:tcW w:w="1439" w:type="dxa"/>
            <w:tcBorders>
              <w:top w:val="single" w:sz="4" w:space="0" w:color="auto"/>
              <w:left w:val="nil"/>
              <w:bottom w:val="single" w:sz="4" w:space="0" w:color="auto"/>
              <w:right w:val="single" w:sz="4" w:space="0" w:color="auto"/>
            </w:tcBorders>
            <w:shd w:val="clear" w:color="auto" w:fill="auto"/>
            <w:noWrap/>
            <w:vAlign w:val="center"/>
            <w:hideMark/>
          </w:tcPr>
          <w:p w:rsidR="009D6197" w:rsidRPr="009D6197" w:rsidP="009D6197">
            <w:pPr>
              <w:spacing w:after="0" w:line="240" w:lineRule="auto"/>
              <w:jc w:val="right"/>
              <w:rPr>
                <w:rFonts w:ascii="Arial" w:eastAsia="Times New Roman" w:hAnsi="Arial" w:cs="Arial"/>
                <w:color w:val="000000"/>
                <w:lang w:eastAsia="en-GB"/>
              </w:rPr>
            </w:pPr>
            <w:r w:rsidRPr="009D6197">
              <w:rPr>
                <w:rFonts w:ascii="Arial" w:eastAsia="Times New Roman" w:hAnsi="Arial" w:cstheme="minorHAnsi"/>
                <w:bCs/>
                <w:color w:val="000000"/>
                <w:lang w:eastAsia="en-GB"/>
              </w:rPr>
              <w:t>(45)</w:t>
            </w:r>
          </w:p>
        </w:tc>
        <w:tc>
          <w:tcPr>
            <w:tcW w:w="1439" w:type="dxa"/>
            <w:tcBorders>
              <w:top w:val="single" w:sz="4" w:space="0" w:color="auto"/>
              <w:left w:val="nil"/>
              <w:bottom w:val="single" w:sz="4" w:space="0" w:color="auto"/>
              <w:right w:val="single" w:sz="4" w:space="0" w:color="auto"/>
            </w:tcBorders>
            <w:shd w:val="clear" w:color="auto" w:fill="auto"/>
            <w:noWrap/>
            <w:vAlign w:val="center"/>
            <w:hideMark/>
          </w:tcPr>
          <w:p w:rsidR="009D6197" w:rsidRPr="009D6197" w:rsidP="009D6197">
            <w:pPr>
              <w:spacing w:after="0" w:line="240" w:lineRule="auto"/>
              <w:jc w:val="right"/>
              <w:rPr>
                <w:rFonts w:ascii="Arial" w:eastAsia="Times New Roman" w:hAnsi="Arial" w:cs="Arial"/>
                <w:color w:val="000000"/>
                <w:lang w:eastAsia="en-GB"/>
              </w:rPr>
            </w:pPr>
            <w:r w:rsidRPr="009D6197">
              <w:rPr>
                <w:rFonts w:ascii="Arial" w:eastAsia="Times New Roman" w:hAnsi="Arial" w:cstheme="minorHAnsi"/>
                <w:bCs/>
                <w:color w:val="000000"/>
                <w:lang w:eastAsia="en-GB"/>
              </w:rPr>
              <w:t xml:space="preserve">-  </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9D6197" w:rsidRPr="009D6197" w:rsidP="009D6197">
            <w:pPr>
              <w:spacing w:after="0" w:line="240" w:lineRule="auto"/>
              <w:jc w:val="center"/>
              <w:rPr>
                <w:rFonts w:ascii="Arial" w:eastAsia="Times New Roman" w:hAnsi="Arial" w:cs="Arial"/>
                <w:color w:val="000000"/>
                <w:lang w:eastAsia="en-GB"/>
              </w:rPr>
            </w:pPr>
            <w:r w:rsidRPr="009D6197">
              <w:rPr>
                <w:rFonts w:ascii="Arial" w:eastAsia="Times New Roman" w:hAnsi="Arial" w:cstheme="minorHAnsi"/>
                <w:bCs/>
                <w:color w:val="000000"/>
                <w:lang w:eastAsia="en-GB"/>
              </w:rPr>
              <w:t>Council</w:t>
            </w:r>
          </w:p>
        </w:tc>
        <w:tc>
          <w:tcPr>
            <w:tcW w:w="1736" w:type="dxa"/>
            <w:tcBorders>
              <w:top w:val="single" w:sz="4" w:space="0" w:color="auto"/>
              <w:left w:val="nil"/>
              <w:bottom w:val="single" w:sz="4" w:space="0" w:color="auto"/>
              <w:right w:val="single" w:sz="4" w:space="0" w:color="auto"/>
            </w:tcBorders>
            <w:shd w:val="clear" w:color="auto" w:fill="auto"/>
            <w:vAlign w:val="center"/>
            <w:hideMark/>
          </w:tcPr>
          <w:p w:rsidR="009D6197" w:rsidRPr="009D6197" w:rsidP="009D6197">
            <w:pPr>
              <w:spacing w:after="0" w:line="240" w:lineRule="auto"/>
              <w:jc w:val="center"/>
              <w:rPr>
                <w:rFonts w:ascii="Arial" w:eastAsia="Times New Roman" w:hAnsi="Arial" w:cs="Arial"/>
                <w:color w:val="000000"/>
                <w:lang w:eastAsia="en-GB"/>
              </w:rPr>
            </w:pPr>
            <w:r w:rsidRPr="009D6197">
              <w:rPr>
                <w:rFonts w:ascii="Arial" w:eastAsia="Times New Roman" w:hAnsi="Arial" w:cstheme="minorHAnsi"/>
                <w:bCs/>
                <w:color w:val="000000"/>
                <w:lang w:eastAsia="en-GB"/>
              </w:rPr>
              <w:t>21st July 2021</w:t>
            </w:r>
          </w:p>
        </w:tc>
      </w:tr>
      <w:tr w:rsidTr="00756FF4">
        <w:tblPrEx>
          <w:tblW w:w="9100" w:type="dxa"/>
          <w:tblLook w:val="04A0"/>
        </w:tblPrEx>
        <w:trPr>
          <w:trHeight w:val="285"/>
        </w:trPr>
        <w:tc>
          <w:tcPr>
            <w:tcW w:w="2905" w:type="dxa"/>
            <w:tcBorders>
              <w:top w:val="single" w:sz="4" w:space="0" w:color="auto"/>
              <w:left w:val="single" w:sz="4" w:space="0" w:color="auto"/>
              <w:bottom w:val="single" w:sz="4" w:space="0" w:color="auto"/>
              <w:right w:val="single" w:sz="4" w:space="0" w:color="auto"/>
            </w:tcBorders>
            <w:shd w:val="clear" w:color="auto" w:fill="auto"/>
            <w:vAlign w:val="center"/>
          </w:tcPr>
          <w:p w:rsidR="00B956D8" w:rsidRPr="009D6197" w:rsidP="00B956D8">
            <w:pPr>
              <w:spacing w:after="0" w:line="240" w:lineRule="auto"/>
              <w:rPr>
                <w:rFonts w:ascii="Arial" w:eastAsia="Times New Roman" w:hAnsi="Arial" w:cstheme="minorHAnsi"/>
                <w:bCs/>
                <w:color w:val="000000"/>
                <w:lang w:eastAsia="en-GB"/>
              </w:rPr>
            </w:pPr>
            <w:r>
              <w:rPr>
                <w:rFonts w:ascii="Arial" w:hAnsi="Arial" w:cs="Arial"/>
                <w:color w:val="000000"/>
              </w:rPr>
              <w:t>Civic Centre Building Management System</w:t>
            </w:r>
          </w:p>
        </w:tc>
        <w:tc>
          <w:tcPr>
            <w:tcW w:w="1439" w:type="dxa"/>
            <w:tcBorders>
              <w:top w:val="single" w:sz="4" w:space="0" w:color="auto"/>
              <w:left w:val="nil"/>
              <w:bottom w:val="single" w:sz="4" w:space="0" w:color="auto"/>
              <w:right w:val="single" w:sz="4" w:space="0" w:color="auto"/>
            </w:tcBorders>
            <w:shd w:val="clear" w:color="auto" w:fill="auto"/>
            <w:noWrap/>
            <w:vAlign w:val="center"/>
          </w:tcPr>
          <w:p w:rsidR="00B956D8" w:rsidRPr="009D6197" w:rsidP="00B956D8">
            <w:pPr>
              <w:spacing w:after="0" w:line="240" w:lineRule="auto"/>
              <w:jc w:val="right"/>
              <w:rPr>
                <w:rFonts w:ascii="Arial" w:eastAsia="Times New Roman" w:hAnsi="Arial" w:cstheme="minorHAnsi"/>
                <w:bCs/>
                <w:color w:val="000000"/>
                <w:lang w:eastAsia="en-GB"/>
              </w:rPr>
            </w:pPr>
            <w:r>
              <w:rPr>
                <w:rFonts w:ascii="Arial" w:hAnsi="Arial" w:cs="Arial"/>
                <w:color w:val="000000"/>
              </w:rPr>
              <w:t xml:space="preserve">1 </w:t>
            </w:r>
          </w:p>
        </w:tc>
        <w:tc>
          <w:tcPr>
            <w:tcW w:w="1439" w:type="dxa"/>
            <w:tcBorders>
              <w:top w:val="single" w:sz="4" w:space="0" w:color="auto"/>
              <w:left w:val="nil"/>
              <w:bottom w:val="single" w:sz="4" w:space="0" w:color="auto"/>
              <w:right w:val="single" w:sz="4" w:space="0" w:color="auto"/>
            </w:tcBorders>
            <w:shd w:val="clear" w:color="auto" w:fill="auto"/>
            <w:noWrap/>
            <w:vAlign w:val="center"/>
          </w:tcPr>
          <w:p w:rsidR="00B956D8" w:rsidRPr="009D6197" w:rsidP="00B956D8">
            <w:pPr>
              <w:spacing w:after="0" w:line="240" w:lineRule="auto"/>
              <w:jc w:val="right"/>
              <w:rPr>
                <w:rFonts w:ascii="Arial" w:eastAsia="Times New Roman" w:hAnsi="Arial" w:cstheme="minorHAnsi"/>
                <w:bCs/>
                <w:color w:val="000000"/>
                <w:lang w:eastAsia="en-GB"/>
              </w:rPr>
            </w:pPr>
            <w:r>
              <w:rPr>
                <w:rFonts w:ascii="Arial" w:hAnsi="Arial" w:cstheme="minorHAnsi"/>
                <w:bCs/>
                <w:color w:val="000000"/>
              </w:rPr>
              <w:t xml:space="preserve">-  </w:t>
            </w:r>
          </w:p>
        </w:tc>
        <w:tc>
          <w:tcPr>
            <w:tcW w:w="1581" w:type="dxa"/>
            <w:tcBorders>
              <w:top w:val="single" w:sz="4" w:space="0" w:color="auto"/>
              <w:left w:val="nil"/>
              <w:bottom w:val="single" w:sz="4" w:space="0" w:color="auto"/>
              <w:right w:val="single" w:sz="4" w:space="0" w:color="auto"/>
            </w:tcBorders>
            <w:shd w:val="clear" w:color="auto" w:fill="auto"/>
            <w:vAlign w:val="center"/>
          </w:tcPr>
          <w:p w:rsidR="00B956D8" w:rsidRPr="009D6197" w:rsidP="00B956D8">
            <w:pPr>
              <w:spacing w:after="0" w:line="240" w:lineRule="auto"/>
              <w:jc w:val="center"/>
              <w:rPr>
                <w:rFonts w:ascii="Arial" w:eastAsia="Times New Roman" w:hAnsi="Arial" w:cstheme="minorHAnsi"/>
                <w:bCs/>
                <w:color w:val="000000"/>
                <w:lang w:eastAsia="en-GB"/>
              </w:rPr>
            </w:pPr>
            <w:r>
              <w:rPr>
                <w:rFonts w:ascii="Arial" w:hAnsi="Arial" w:cstheme="minorHAnsi"/>
                <w:bCs/>
                <w:color w:val="000000"/>
              </w:rPr>
              <w:t>EMD</w:t>
            </w:r>
          </w:p>
        </w:tc>
        <w:tc>
          <w:tcPr>
            <w:tcW w:w="1736" w:type="dxa"/>
            <w:tcBorders>
              <w:top w:val="single" w:sz="4" w:space="0" w:color="auto"/>
              <w:left w:val="nil"/>
              <w:bottom w:val="single" w:sz="4" w:space="0" w:color="auto"/>
              <w:right w:val="single" w:sz="4" w:space="0" w:color="auto"/>
            </w:tcBorders>
            <w:shd w:val="clear" w:color="auto" w:fill="auto"/>
            <w:vAlign w:val="center"/>
          </w:tcPr>
          <w:p w:rsidR="00B956D8" w:rsidRPr="009D6197" w:rsidP="00B956D8">
            <w:pPr>
              <w:spacing w:after="0" w:line="240" w:lineRule="auto"/>
              <w:jc w:val="center"/>
              <w:rPr>
                <w:rFonts w:ascii="Arial" w:eastAsia="Times New Roman" w:hAnsi="Arial" w:cstheme="minorHAnsi"/>
                <w:bCs/>
                <w:color w:val="000000"/>
                <w:lang w:eastAsia="en-GB"/>
              </w:rPr>
            </w:pPr>
            <w:r>
              <w:rPr>
                <w:rFonts w:ascii="Arial" w:hAnsi="Arial" w:cstheme="minorHAnsi"/>
                <w:bCs/>
                <w:color w:val="000000"/>
              </w:rPr>
              <w:t>19th May 2021</w:t>
            </w:r>
          </w:p>
        </w:tc>
      </w:tr>
      <w:tr w:rsidTr="00756FF4">
        <w:tblPrEx>
          <w:tblW w:w="9100" w:type="dxa"/>
          <w:tblLook w:val="04A0"/>
        </w:tblPrEx>
        <w:trPr>
          <w:trHeight w:val="285"/>
        </w:trPr>
        <w:tc>
          <w:tcPr>
            <w:tcW w:w="2905" w:type="dxa"/>
            <w:tcBorders>
              <w:top w:val="single" w:sz="4" w:space="0" w:color="auto"/>
              <w:left w:val="single" w:sz="4" w:space="0" w:color="auto"/>
              <w:bottom w:val="single" w:sz="4" w:space="0" w:color="auto"/>
              <w:right w:val="single" w:sz="4" w:space="0" w:color="auto"/>
            </w:tcBorders>
            <w:shd w:val="clear" w:color="auto" w:fill="auto"/>
            <w:vAlign w:val="center"/>
          </w:tcPr>
          <w:p w:rsidR="00B956D8" w:rsidRPr="009D6197" w:rsidP="00B956D8">
            <w:pPr>
              <w:spacing w:after="0" w:line="240" w:lineRule="auto"/>
              <w:rPr>
                <w:rFonts w:ascii="Arial" w:eastAsia="Times New Roman" w:hAnsi="Arial" w:cstheme="minorHAnsi"/>
                <w:bCs/>
                <w:color w:val="000000"/>
                <w:lang w:eastAsia="en-GB"/>
              </w:rPr>
            </w:pPr>
            <w:r>
              <w:rPr>
                <w:rFonts w:ascii="Arial" w:hAnsi="Arial" w:cs="Arial"/>
                <w:color w:val="000000"/>
              </w:rPr>
              <w:t>Civic Centre Hot Water System</w:t>
            </w:r>
          </w:p>
        </w:tc>
        <w:tc>
          <w:tcPr>
            <w:tcW w:w="1439" w:type="dxa"/>
            <w:tcBorders>
              <w:top w:val="single" w:sz="4" w:space="0" w:color="auto"/>
              <w:left w:val="nil"/>
              <w:bottom w:val="single" w:sz="4" w:space="0" w:color="auto"/>
              <w:right w:val="single" w:sz="4" w:space="0" w:color="auto"/>
            </w:tcBorders>
            <w:shd w:val="clear" w:color="auto" w:fill="auto"/>
            <w:noWrap/>
            <w:vAlign w:val="center"/>
          </w:tcPr>
          <w:p w:rsidR="00B956D8" w:rsidRPr="009D6197" w:rsidP="00B956D8">
            <w:pPr>
              <w:spacing w:after="0" w:line="240" w:lineRule="auto"/>
              <w:jc w:val="right"/>
              <w:rPr>
                <w:rFonts w:ascii="Arial" w:eastAsia="Times New Roman" w:hAnsi="Arial" w:cstheme="minorHAnsi"/>
                <w:bCs/>
                <w:color w:val="000000"/>
                <w:lang w:eastAsia="en-GB"/>
              </w:rPr>
            </w:pPr>
            <w:r>
              <w:rPr>
                <w:rFonts w:ascii="Arial" w:hAnsi="Arial" w:cs="Arial"/>
                <w:color w:val="000000"/>
              </w:rPr>
              <w:t xml:space="preserve">3 </w:t>
            </w:r>
          </w:p>
        </w:tc>
        <w:tc>
          <w:tcPr>
            <w:tcW w:w="1439" w:type="dxa"/>
            <w:tcBorders>
              <w:top w:val="single" w:sz="4" w:space="0" w:color="auto"/>
              <w:left w:val="nil"/>
              <w:bottom w:val="single" w:sz="4" w:space="0" w:color="auto"/>
              <w:right w:val="single" w:sz="4" w:space="0" w:color="auto"/>
            </w:tcBorders>
            <w:shd w:val="clear" w:color="auto" w:fill="auto"/>
            <w:noWrap/>
            <w:vAlign w:val="center"/>
          </w:tcPr>
          <w:p w:rsidR="00B956D8" w:rsidRPr="009D6197" w:rsidP="00B956D8">
            <w:pPr>
              <w:spacing w:after="0" w:line="240" w:lineRule="auto"/>
              <w:jc w:val="right"/>
              <w:rPr>
                <w:rFonts w:ascii="Arial" w:eastAsia="Times New Roman" w:hAnsi="Arial" w:cstheme="minorHAnsi"/>
                <w:bCs/>
                <w:color w:val="000000"/>
                <w:lang w:eastAsia="en-GB"/>
              </w:rPr>
            </w:pPr>
            <w:r>
              <w:rPr>
                <w:rFonts w:ascii="Arial" w:hAnsi="Arial" w:cs="Arial"/>
                <w:color w:val="000000"/>
              </w:rPr>
              <w:t xml:space="preserve">-  </w:t>
            </w:r>
          </w:p>
        </w:tc>
        <w:tc>
          <w:tcPr>
            <w:tcW w:w="1581" w:type="dxa"/>
            <w:tcBorders>
              <w:top w:val="single" w:sz="4" w:space="0" w:color="auto"/>
              <w:left w:val="nil"/>
              <w:bottom w:val="single" w:sz="4" w:space="0" w:color="auto"/>
              <w:right w:val="single" w:sz="4" w:space="0" w:color="auto"/>
            </w:tcBorders>
            <w:shd w:val="clear" w:color="auto" w:fill="auto"/>
            <w:vAlign w:val="center"/>
          </w:tcPr>
          <w:p w:rsidR="00B956D8" w:rsidRPr="009D6197" w:rsidP="00B956D8">
            <w:pPr>
              <w:spacing w:after="0" w:line="240" w:lineRule="auto"/>
              <w:jc w:val="center"/>
              <w:rPr>
                <w:rFonts w:ascii="Arial" w:eastAsia="Times New Roman" w:hAnsi="Arial" w:cstheme="minorHAnsi"/>
                <w:bCs/>
                <w:color w:val="000000"/>
                <w:lang w:eastAsia="en-GB"/>
              </w:rPr>
            </w:pPr>
            <w:r>
              <w:rPr>
                <w:rFonts w:ascii="Arial" w:hAnsi="Arial" w:cs="Arial"/>
                <w:color w:val="000000"/>
              </w:rPr>
              <w:t>EMD</w:t>
            </w:r>
          </w:p>
        </w:tc>
        <w:tc>
          <w:tcPr>
            <w:tcW w:w="1736" w:type="dxa"/>
            <w:tcBorders>
              <w:top w:val="single" w:sz="4" w:space="0" w:color="auto"/>
              <w:left w:val="nil"/>
              <w:bottom w:val="single" w:sz="4" w:space="0" w:color="auto"/>
              <w:right w:val="single" w:sz="4" w:space="0" w:color="auto"/>
            </w:tcBorders>
            <w:shd w:val="clear" w:color="auto" w:fill="auto"/>
            <w:vAlign w:val="center"/>
          </w:tcPr>
          <w:p w:rsidR="00B956D8" w:rsidRPr="009D6197" w:rsidP="00B956D8">
            <w:pPr>
              <w:spacing w:after="0" w:line="240" w:lineRule="auto"/>
              <w:jc w:val="center"/>
              <w:rPr>
                <w:rFonts w:ascii="Arial" w:eastAsia="Times New Roman" w:hAnsi="Arial" w:cstheme="minorHAnsi"/>
                <w:bCs/>
                <w:color w:val="000000"/>
                <w:lang w:eastAsia="en-GB"/>
              </w:rPr>
            </w:pPr>
            <w:r>
              <w:rPr>
                <w:rFonts w:ascii="Arial" w:hAnsi="Arial" w:cstheme="minorHAnsi"/>
                <w:bCs/>
                <w:color w:val="000000"/>
              </w:rPr>
              <w:t>19th May 2021</w:t>
            </w:r>
          </w:p>
        </w:tc>
      </w:tr>
      <w:tr w:rsidTr="00756FF4">
        <w:tblPrEx>
          <w:tblW w:w="9100" w:type="dxa"/>
          <w:tblLook w:val="04A0"/>
        </w:tblPrEx>
        <w:trPr>
          <w:trHeight w:val="285"/>
        </w:trPr>
        <w:tc>
          <w:tcPr>
            <w:tcW w:w="2905" w:type="dxa"/>
            <w:tcBorders>
              <w:top w:val="single" w:sz="4" w:space="0" w:color="auto"/>
              <w:left w:val="single" w:sz="4" w:space="0" w:color="auto"/>
              <w:bottom w:val="single" w:sz="4" w:space="0" w:color="auto"/>
              <w:right w:val="single" w:sz="4" w:space="0" w:color="auto"/>
            </w:tcBorders>
            <w:shd w:val="clear" w:color="auto" w:fill="auto"/>
            <w:vAlign w:val="center"/>
          </w:tcPr>
          <w:p w:rsidR="00B956D8" w:rsidRPr="009D6197" w:rsidP="00B956D8">
            <w:pPr>
              <w:spacing w:after="0" w:line="240" w:lineRule="auto"/>
              <w:rPr>
                <w:rFonts w:ascii="Arial" w:eastAsia="Times New Roman" w:hAnsi="Arial" w:cstheme="minorHAnsi"/>
                <w:bCs/>
                <w:color w:val="000000"/>
                <w:lang w:eastAsia="en-GB"/>
              </w:rPr>
            </w:pPr>
            <w:r>
              <w:rPr>
                <w:rFonts w:ascii="Arial" w:hAnsi="Arial" w:cs="Arial"/>
                <w:color w:val="000000"/>
              </w:rPr>
              <w:t>Civic Centre LED Lighting</w:t>
            </w:r>
          </w:p>
        </w:tc>
        <w:tc>
          <w:tcPr>
            <w:tcW w:w="1439" w:type="dxa"/>
            <w:tcBorders>
              <w:top w:val="single" w:sz="4" w:space="0" w:color="auto"/>
              <w:left w:val="nil"/>
              <w:bottom w:val="single" w:sz="4" w:space="0" w:color="auto"/>
              <w:right w:val="single" w:sz="4" w:space="0" w:color="auto"/>
            </w:tcBorders>
            <w:shd w:val="clear" w:color="auto" w:fill="auto"/>
            <w:noWrap/>
            <w:vAlign w:val="center"/>
          </w:tcPr>
          <w:p w:rsidR="00B956D8" w:rsidRPr="009D6197" w:rsidP="00B956D8">
            <w:pPr>
              <w:spacing w:after="0" w:line="240" w:lineRule="auto"/>
              <w:jc w:val="right"/>
              <w:rPr>
                <w:rFonts w:ascii="Arial" w:eastAsia="Times New Roman" w:hAnsi="Arial" w:cstheme="minorHAnsi"/>
                <w:bCs/>
                <w:color w:val="000000"/>
                <w:lang w:eastAsia="en-GB"/>
              </w:rPr>
            </w:pPr>
            <w:r>
              <w:rPr>
                <w:rFonts w:ascii="Arial" w:hAnsi="Arial" w:cs="Arial"/>
                <w:color w:val="000000"/>
              </w:rPr>
              <w:t xml:space="preserve">28 </w:t>
            </w:r>
          </w:p>
        </w:tc>
        <w:tc>
          <w:tcPr>
            <w:tcW w:w="1439" w:type="dxa"/>
            <w:tcBorders>
              <w:top w:val="single" w:sz="4" w:space="0" w:color="auto"/>
              <w:left w:val="nil"/>
              <w:bottom w:val="single" w:sz="4" w:space="0" w:color="auto"/>
              <w:right w:val="single" w:sz="4" w:space="0" w:color="auto"/>
            </w:tcBorders>
            <w:shd w:val="clear" w:color="auto" w:fill="auto"/>
            <w:noWrap/>
            <w:vAlign w:val="center"/>
          </w:tcPr>
          <w:p w:rsidR="00B956D8" w:rsidRPr="009D6197" w:rsidP="00B956D8">
            <w:pPr>
              <w:spacing w:after="0" w:line="240" w:lineRule="auto"/>
              <w:jc w:val="right"/>
              <w:rPr>
                <w:rFonts w:ascii="Arial" w:eastAsia="Times New Roman" w:hAnsi="Arial" w:cstheme="minorHAnsi"/>
                <w:bCs/>
                <w:color w:val="000000"/>
                <w:lang w:eastAsia="en-GB"/>
              </w:rPr>
            </w:pPr>
            <w:r>
              <w:rPr>
                <w:rFonts w:ascii="Arial" w:hAnsi="Arial" w:cs="Arial"/>
                <w:color w:val="000000"/>
              </w:rPr>
              <w:t xml:space="preserve">-  </w:t>
            </w:r>
          </w:p>
        </w:tc>
        <w:tc>
          <w:tcPr>
            <w:tcW w:w="1581" w:type="dxa"/>
            <w:tcBorders>
              <w:top w:val="single" w:sz="4" w:space="0" w:color="auto"/>
              <w:left w:val="nil"/>
              <w:bottom w:val="single" w:sz="4" w:space="0" w:color="auto"/>
              <w:right w:val="single" w:sz="4" w:space="0" w:color="auto"/>
            </w:tcBorders>
            <w:shd w:val="clear" w:color="auto" w:fill="auto"/>
            <w:vAlign w:val="center"/>
          </w:tcPr>
          <w:p w:rsidR="00B956D8" w:rsidRPr="009D6197" w:rsidP="00B956D8">
            <w:pPr>
              <w:spacing w:after="0" w:line="240" w:lineRule="auto"/>
              <w:jc w:val="center"/>
              <w:rPr>
                <w:rFonts w:ascii="Arial" w:eastAsia="Times New Roman" w:hAnsi="Arial" w:cstheme="minorHAnsi"/>
                <w:bCs/>
                <w:color w:val="000000"/>
                <w:lang w:eastAsia="en-GB"/>
              </w:rPr>
            </w:pPr>
            <w:r>
              <w:rPr>
                <w:rFonts w:ascii="Arial" w:hAnsi="Arial" w:cs="Arial"/>
                <w:color w:val="000000"/>
              </w:rPr>
              <w:t>EMD</w:t>
            </w:r>
          </w:p>
        </w:tc>
        <w:tc>
          <w:tcPr>
            <w:tcW w:w="1736" w:type="dxa"/>
            <w:tcBorders>
              <w:top w:val="single" w:sz="4" w:space="0" w:color="auto"/>
              <w:left w:val="nil"/>
              <w:bottom w:val="single" w:sz="4" w:space="0" w:color="auto"/>
              <w:right w:val="single" w:sz="4" w:space="0" w:color="auto"/>
            </w:tcBorders>
            <w:shd w:val="clear" w:color="auto" w:fill="auto"/>
            <w:vAlign w:val="center"/>
          </w:tcPr>
          <w:p w:rsidR="00B956D8" w:rsidRPr="009D6197" w:rsidP="00B956D8">
            <w:pPr>
              <w:spacing w:after="0" w:line="240" w:lineRule="auto"/>
              <w:jc w:val="center"/>
              <w:rPr>
                <w:rFonts w:ascii="Arial" w:eastAsia="Times New Roman" w:hAnsi="Arial" w:cstheme="minorHAnsi"/>
                <w:bCs/>
                <w:color w:val="000000"/>
                <w:lang w:eastAsia="en-GB"/>
              </w:rPr>
            </w:pPr>
            <w:r>
              <w:rPr>
                <w:rFonts w:ascii="Arial" w:hAnsi="Arial" w:cstheme="minorHAnsi"/>
                <w:bCs/>
                <w:color w:val="000000"/>
              </w:rPr>
              <w:t>19th May 2021</w:t>
            </w:r>
          </w:p>
        </w:tc>
      </w:tr>
      <w:tr w:rsidTr="00756FF4">
        <w:tblPrEx>
          <w:tblW w:w="9100" w:type="dxa"/>
          <w:tblLook w:val="04A0"/>
        </w:tblPrEx>
        <w:trPr>
          <w:trHeight w:val="285"/>
        </w:trPr>
        <w:tc>
          <w:tcPr>
            <w:tcW w:w="2905" w:type="dxa"/>
            <w:tcBorders>
              <w:top w:val="single" w:sz="4" w:space="0" w:color="auto"/>
              <w:left w:val="single" w:sz="4" w:space="0" w:color="auto"/>
              <w:bottom w:val="single" w:sz="4" w:space="0" w:color="auto"/>
              <w:right w:val="single" w:sz="4" w:space="0" w:color="auto"/>
            </w:tcBorders>
            <w:shd w:val="clear" w:color="auto" w:fill="auto"/>
            <w:vAlign w:val="center"/>
          </w:tcPr>
          <w:p w:rsidR="00B956D8" w:rsidRPr="009D6197" w:rsidP="00B956D8">
            <w:pPr>
              <w:spacing w:after="0" w:line="240" w:lineRule="auto"/>
              <w:rPr>
                <w:rFonts w:ascii="Arial" w:eastAsia="Times New Roman" w:hAnsi="Arial" w:cstheme="minorHAnsi"/>
                <w:bCs/>
                <w:color w:val="000000"/>
                <w:lang w:eastAsia="en-GB"/>
              </w:rPr>
            </w:pPr>
            <w:r>
              <w:rPr>
                <w:rFonts w:ascii="Arial" w:hAnsi="Arial" w:cs="Arial"/>
                <w:color w:val="000000"/>
              </w:rPr>
              <w:t>Civic Centre Solar Panels</w:t>
            </w:r>
          </w:p>
        </w:tc>
        <w:tc>
          <w:tcPr>
            <w:tcW w:w="1439" w:type="dxa"/>
            <w:tcBorders>
              <w:top w:val="single" w:sz="4" w:space="0" w:color="auto"/>
              <w:left w:val="nil"/>
              <w:bottom w:val="single" w:sz="4" w:space="0" w:color="auto"/>
              <w:right w:val="single" w:sz="4" w:space="0" w:color="auto"/>
            </w:tcBorders>
            <w:shd w:val="clear" w:color="auto" w:fill="auto"/>
            <w:noWrap/>
            <w:vAlign w:val="center"/>
          </w:tcPr>
          <w:p w:rsidR="00B956D8" w:rsidRPr="009D6197" w:rsidP="00B956D8">
            <w:pPr>
              <w:spacing w:after="0" w:line="240" w:lineRule="auto"/>
              <w:jc w:val="right"/>
              <w:rPr>
                <w:rFonts w:ascii="Arial" w:eastAsia="Times New Roman" w:hAnsi="Arial" w:cstheme="minorHAnsi"/>
                <w:bCs/>
                <w:color w:val="000000"/>
                <w:lang w:eastAsia="en-GB"/>
              </w:rPr>
            </w:pPr>
            <w:r>
              <w:rPr>
                <w:rFonts w:ascii="Arial" w:hAnsi="Arial" w:cs="Arial"/>
                <w:color w:val="000000"/>
              </w:rPr>
              <w:t xml:space="preserve">45 </w:t>
            </w:r>
          </w:p>
        </w:tc>
        <w:tc>
          <w:tcPr>
            <w:tcW w:w="1439" w:type="dxa"/>
            <w:tcBorders>
              <w:top w:val="single" w:sz="4" w:space="0" w:color="auto"/>
              <w:left w:val="nil"/>
              <w:bottom w:val="single" w:sz="4" w:space="0" w:color="auto"/>
              <w:right w:val="single" w:sz="4" w:space="0" w:color="auto"/>
            </w:tcBorders>
            <w:shd w:val="clear" w:color="auto" w:fill="auto"/>
            <w:noWrap/>
            <w:vAlign w:val="center"/>
          </w:tcPr>
          <w:p w:rsidR="00B956D8" w:rsidRPr="009D6197" w:rsidP="00B956D8">
            <w:pPr>
              <w:spacing w:after="0" w:line="240" w:lineRule="auto"/>
              <w:jc w:val="right"/>
              <w:rPr>
                <w:rFonts w:ascii="Arial" w:eastAsia="Times New Roman" w:hAnsi="Arial" w:cstheme="minorHAnsi"/>
                <w:bCs/>
                <w:color w:val="000000"/>
                <w:lang w:eastAsia="en-GB"/>
              </w:rPr>
            </w:pPr>
            <w:r>
              <w:rPr>
                <w:rFonts w:ascii="Arial" w:hAnsi="Arial" w:cstheme="minorHAnsi"/>
                <w:bCs/>
                <w:color w:val="000000"/>
              </w:rPr>
              <w:t xml:space="preserve">-  </w:t>
            </w:r>
          </w:p>
        </w:tc>
        <w:tc>
          <w:tcPr>
            <w:tcW w:w="1581" w:type="dxa"/>
            <w:tcBorders>
              <w:top w:val="single" w:sz="4" w:space="0" w:color="auto"/>
              <w:left w:val="nil"/>
              <w:bottom w:val="single" w:sz="4" w:space="0" w:color="auto"/>
              <w:right w:val="single" w:sz="4" w:space="0" w:color="auto"/>
            </w:tcBorders>
            <w:shd w:val="clear" w:color="auto" w:fill="auto"/>
            <w:vAlign w:val="center"/>
          </w:tcPr>
          <w:p w:rsidR="00B956D8" w:rsidRPr="009D6197" w:rsidP="00B956D8">
            <w:pPr>
              <w:spacing w:after="0" w:line="240" w:lineRule="auto"/>
              <w:jc w:val="center"/>
              <w:rPr>
                <w:rFonts w:ascii="Arial" w:eastAsia="Times New Roman" w:hAnsi="Arial" w:cstheme="minorHAnsi"/>
                <w:bCs/>
                <w:color w:val="000000"/>
                <w:lang w:eastAsia="en-GB"/>
              </w:rPr>
            </w:pPr>
            <w:r>
              <w:rPr>
                <w:rFonts w:ascii="Arial" w:hAnsi="Arial" w:cs="Arial"/>
                <w:color w:val="000000"/>
              </w:rPr>
              <w:t>EMD</w:t>
            </w:r>
          </w:p>
        </w:tc>
        <w:tc>
          <w:tcPr>
            <w:tcW w:w="1736" w:type="dxa"/>
            <w:tcBorders>
              <w:top w:val="single" w:sz="4" w:space="0" w:color="auto"/>
              <w:left w:val="nil"/>
              <w:bottom w:val="single" w:sz="4" w:space="0" w:color="auto"/>
              <w:right w:val="single" w:sz="4" w:space="0" w:color="auto"/>
            </w:tcBorders>
            <w:shd w:val="clear" w:color="auto" w:fill="auto"/>
            <w:vAlign w:val="center"/>
          </w:tcPr>
          <w:p w:rsidR="00B956D8" w:rsidRPr="009D6197" w:rsidP="00B956D8">
            <w:pPr>
              <w:spacing w:after="0" w:line="240" w:lineRule="auto"/>
              <w:jc w:val="center"/>
              <w:rPr>
                <w:rFonts w:ascii="Arial" w:eastAsia="Times New Roman" w:hAnsi="Arial" w:cstheme="minorHAnsi"/>
                <w:bCs/>
                <w:color w:val="000000"/>
                <w:lang w:eastAsia="en-GB"/>
              </w:rPr>
            </w:pPr>
            <w:r>
              <w:rPr>
                <w:rFonts w:ascii="Arial" w:hAnsi="Arial" w:cstheme="minorHAnsi"/>
                <w:bCs/>
                <w:color w:val="000000"/>
              </w:rPr>
              <w:t>19th May 2021</w:t>
            </w:r>
          </w:p>
        </w:tc>
      </w:tr>
    </w:tbl>
    <w:p w:rsidR="009D6197" w:rsidP="00ED0A43">
      <w:pPr>
        <w:pStyle w:val="ListParagraph"/>
        <w:spacing w:after="0" w:line="240" w:lineRule="auto"/>
        <w:ind w:left="1080"/>
        <w:jc w:val="both"/>
        <w:rPr>
          <w:rFonts w:cstheme="minorHAnsi"/>
          <w:bCs/>
          <w:iCs/>
        </w:rPr>
      </w:pPr>
    </w:p>
    <w:p w:rsidR="00570B7D" w:rsidP="00ED0A43">
      <w:pPr>
        <w:pStyle w:val="ListParagraph"/>
        <w:spacing w:after="0" w:line="240" w:lineRule="auto"/>
        <w:ind w:left="1080"/>
        <w:jc w:val="both"/>
        <w:rPr>
          <w:rFonts w:cstheme="minorHAnsi"/>
          <w:bCs/>
          <w:iCs/>
        </w:rPr>
      </w:pPr>
    </w:p>
    <w:p w:rsidR="00570B7D" w:rsidRPr="000E34F8" w:rsidP="00570B7D">
      <w:pPr>
        <w:numPr>
          <w:ilvl w:val="0"/>
          <w:numId w:val="8"/>
        </w:numPr>
        <w:spacing w:after="0" w:line="240" w:lineRule="auto"/>
        <w:jc w:val="both"/>
        <w:rPr>
          <w:rFonts w:cstheme="minorHAnsi"/>
          <w:bCs/>
          <w:iCs/>
        </w:rPr>
      </w:pPr>
      <w:r w:rsidRPr="005E6837">
        <w:rPr>
          <w:rFonts w:cstheme="minorHAnsi"/>
          <w:bCs/>
        </w:rPr>
        <w:t>Further variations of £</w:t>
      </w:r>
      <w:r>
        <w:rPr>
          <w:rFonts w:cstheme="minorHAnsi"/>
          <w:bCs/>
        </w:rPr>
        <w:t>0.130</w:t>
      </w:r>
      <w:r w:rsidRPr="005E6837">
        <w:rPr>
          <w:rFonts w:cstheme="minorHAnsi"/>
          <w:bCs/>
        </w:rPr>
        <w:t xml:space="preserve">m </w:t>
      </w:r>
      <w:r>
        <w:rPr>
          <w:rFonts w:cstheme="minorHAnsi"/>
          <w:bCs/>
        </w:rPr>
        <w:t>are</w:t>
      </w:r>
      <w:r w:rsidRPr="005E6837">
        <w:rPr>
          <w:rFonts w:cstheme="minorHAnsi"/>
          <w:bCs/>
        </w:rPr>
        <w:t xml:space="preserve"> requested as detailed in the </w:t>
      </w:r>
      <w:r>
        <w:rPr>
          <w:rFonts w:cstheme="minorHAnsi"/>
          <w:bCs/>
        </w:rPr>
        <w:t xml:space="preserve">major variations section of </w:t>
      </w:r>
      <w:r w:rsidRPr="000E34F8">
        <w:rPr>
          <w:rFonts w:cstheme="minorHAnsi"/>
          <w:bCs/>
        </w:rPr>
        <w:t>the report, in paragraphs 26 below</w:t>
      </w:r>
    </w:p>
    <w:p w:rsidR="00570B7D" w:rsidP="00570B7D">
      <w:pPr>
        <w:spacing w:after="0" w:line="240" w:lineRule="auto"/>
        <w:ind w:left="360"/>
        <w:jc w:val="both"/>
        <w:rPr>
          <w:rFonts w:cstheme="minorHAnsi"/>
          <w:bCs/>
          <w:iCs/>
        </w:rPr>
      </w:pPr>
    </w:p>
    <w:p w:rsidR="00ED0A43" w:rsidRPr="00570B7D" w:rsidP="00570B7D">
      <w:pPr>
        <w:numPr>
          <w:ilvl w:val="0"/>
          <w:numId w:val="8"/>
        </w:numPr>
        <w:spacing w:after="0" w:line="240" w:lineRule="auto"/>
        <w:jc w:val="both"/>
        <w:rPr>
          <w:rFonts w:cstheme="minorHAnsi"/>
          <w:bCs/>
          <w:iCs/>
        </w:rPr>
      </w:pPr>
      <w:r w:rsidRPr="00570B7D">
        <w:rPr>
          <w:rFonts w:cstheme="minorHAnsi"/>
          <w:bCs/>
        </w:rPr>
        <w:t>Slippage and re-profiling of budgets</w:t>
      </w:r>
      <w:r>
        <w:rPr>
          <w:rFonts w:cstheme="minorHAnsi"/>
          <w:bCs/>
        </w:rPr>
        <w:t xml:space="preserve"> between 2021/22 and 2022/23,</w:t>
      </w:r>
      <w:r w:rsidRPr="00570B7D">
        <w:rPr>
          <w:rFonts w:cstheme="minorHAnsi"/>
          <w:bCs/>
        </w:rPr>
        <w:t xml:space="preserve"> during the first </w:t>
      </w:r>
      <w:r>
        <w:rPr>
          <w:rFonts w:cstheme="minorHAnsi"/>
          <w:bCs/>
        </w:rPr>
        <w:t>four months</w:t>
      </w:r>
      <w:r w:rsidRPr="00570B7D">
        <w:rPr>
          <w:rFonts w:cstheme="minorHAnsi"/>
          <w:bCs/>
        </w:rPr>
        <w:t xml:space="preserve"> of the year</w:t>
      </w:r>
      <w:r>
        <w:rPr>
          <w:rFonts w:cstheme="minorHAnsi"/>
          <w:bCs/>
        </w:rPr>
        <w:t>, totals</w:t>
      </w:r>
      <w:r w:rsidRPr="00570B7D">
        <w:rPr>
          <w:rFonts w:cstheme="minorHAnsi"/>
          <w:bCs/>
        </w:rPr>
        <w:t xml:space="preserve"> £0.219m</w:t>
      </w:r>
      <w:r>
        <w:rPr>
          <w:rFonts w:cstheme="minorHAnsi"/>
          <w:bCs/>
        </w:rPr>
        <w:t xml:space="preserve"> as detailed on the individual schemes in Appendix B</w:t>
      </w:r>
      <w:r w:rsidRPr="00570B7D">
        <w:rPr>
          <w:rFonts w:cstheme="minorHAnsi"/>
          <w:bCs/>
        </w:rPr>
        <w:t>.</w:t>
      </w:r>
    </w:p>
    <w:p w:rsidR="00ED0A43" w:rsidRPr="00ED0A43" w:rsidP="00ED0A43">
      <w:pPr>
        <w:pStyle w:val="ListParagraph"/>
        <w:spacing w:after="0" w:line="240" w:lineRule="auto"/>
        <w:ind w:left="360"/>
        <w:jc w:val="both"/>
        <w:rPr>
          <w:rFonts w:cstheme="minorHAnsi"/>
          <w:bCs/>
          <w:iCs/>
        </w:rPr>
      </w:pPr>
    </w:p>
    <w:p w:rsidR="007815C3" w:rsidP="007815C3">
      <w:pPr>
        <w:numPr>
          <w:ilvl w:val="0"/>
          <w:numId w:val="8"/>
        </w:numPr>
        <w:spacing w:after="0" w:line="240" w:lineRule="auto"/>
        <w:jc w:val="both"/>
        <w:rPr>
          <w:rFonts w:cstheme="minorHAnsi"/>
          <w:bCs/>
          <w:iCs/>
        </w:rPr>
      </w:pPr>
      <w:r w:rsidRPr="00ED0A43">
        <w:rPr>
          <w:rFonts w:cstheme="minorHAnsi"/>
          <w:bCs/>
        </w:rPr>
        <w:t>As at 31</w:t>
      </w:r>
      <w:r w:rsidRPr="00ED0A43">
        <w:rPr>
          <w:rFonts w:cstheme="minorHAnsi"/>
          <w:bCs/>
          <w:vertAlign w:val="superscript"/>
        </w:rPr>
        <w:t>st</w:t>
      </w:r>
      <w:r w:rsidRPr="00ED0A43">
        <w:rPr>
          <w:rFonts w:cstheme="minorHAnsi"/>
          <w:bCs/>
        </w:rPr>
        <w:t xml:space="preserve"> July 2021 the</w:t>
      </w:r>
      <w:r w:rsidRPr="005E6837">
        <w:rPr>
          <w:rFonts w:cstheme="minorHAnsi"/>
          <w:bCs/>
        </w:rPr>
        <w:t xml:space="preserve"> capital expenditure across the programme was £</w:t>
      </w:r>
      <w:r>
        <w:rPr>
          <w:rFonts w:cstheme="minorHAnsi"/>
          <w:bCs/>
        </w:rPr>
        <w:t>1.882m</w:t>
      </w:r>
      <w:r w:rsidRPr="005E6837">
        <w:rPr>
          <w:rFonts w:cstheme="minorHAnsi"/>
          <w:bCs/>
        </w:rPr>
        <w:t xml:space="preserve"> representing </w:t>
      </w:r>
      <w:r>
        <w:rPr>
          <w:rFonts w:cstheme="minorHAnsi"/>
          <w:bCs/>
        </w:rPr>
        <w:t>8.5</w:t>
      </w:r>
      <w:r w:rsidRPr="005E6837">
        <w:rPr>
          <w:rFonts w:cstheme="minorHAnsi"/>
          <w:bCs/>
        </w:rPr>
        <w:t>% of the current, revised projected capital spend for the year.</w:t>
      </w:r>
    </w:p>
    <w:p w:rsidR="007815C3" w:rsidP="007815C3">
      <w:pPr>
        <w:spacing w:after="0" w:line="240" w:lineRule="auto"/>
        <w:ind w:left="360"/>
        <w:jc w:val="both"/>
        <w:rPr>
          <w:rFonts w:cstheme="minorHAnsi"/>
          <w:bCs/>
          <w:iCs/>
        </w:rPr>
      </w:pPr>
    </w:p>
    <w:p w:rsidR="007815C3" w:rsidP="007815C3">
      <w:pPr>
        <w:numPr>
          <w:ilvl w:val="0"/>
          <w:numId w:val="8"/>
        </w:numPr>
        <w:spacing w:after="0" w:line="240" w:lineRule="auto"/>
        <w:jc w:val="both"/>
        <w:rPr>
          <w:rFonts w:cstheme="minorHAnsi"/>
          <w:bCs/>
          <w:iCs/>
        </w:rPr>
      </w:pPr>
      <w:r>
        <w:rPr>
          <w:rFonts w:cstheme="minorHAnsi"/>
          <w:bCs/>
        </w:rPr>
        <w:t>A capital receipt of £70k has been received in relation to insurance money for a damaged road sweeper.  This will be used to fund the cost of replacing the vehicle.  No further capital receipts are forecasted for 2021/22.</w:t>
      </w:r>
    </w:p>
    <w:p w:rsidR="007815C3" w:rsidP="007815C3">
      <w:pPr>
        <w:spacing w:after="0" w:line="240" w:lineRule="auto"/>
        <w:ind w:left="360"/>
        <w:jc w:val="both"/>
        <w:rPr>
          <w:rFonts w:cstheme="minorHAnsi"/>
          <w:bCs/>
          <w:iCs/>
        </w:rPr>
      </w:pPr>
    </w:p>
    <w:p w:rsidR="007815C3" w:rsidP="007815C3">
      <w:pPr>
        <w:spacing w:after="0" w:line="240" w:lineRule="auto"/>
        <w:ind w:left="360"/>
        <w:jc w:val="both"/>
        <w:rPr>
          <w:rFonts w:cstheme="minorHAnsi"/>
          <w:bCs/>
          <w:iCs/>
        </w:rPr>
      </w:pPr>
    </w:p>
    <w:p w:rsidR="00756FF4">
      <w:pPr>
        <w:rPr>
          <w:rFonts w:eastAsia="Times New Roman" w:asciiTheme="majorHAnsi" w:hAnsiTheme="majorHAnsi" w:cstheme="majorHAnsi"/>
          <w:b/>
          <w:bCs/>
          <w:lang w:eastAsia="en-GB"/>
        </w:rPr>
      </w:pPr>
      <w:r>
        <w:br w:type="page"/>
      </w:r>
    </w:p>
    <w:p w:rsidR="00E24AE3" w:rsidRPr="00ED4FF1" w:rsidP="00E24AE3">
      <w:pPr>
        <w:pStyle w:val="Heading2"/>
      </w:pPr>
      <w:r>
        <w:t>Major Variations in the 2021/22 Capital Programme in the 4 months to 31</w:t>
      </w:r>
      <w:r w:rsidRPr="00217542">
        <w:rPr>
          <w:vertAlign w:val="superscript"/>
        </w:rPr>
        <w:t>st</w:t>
      </w:r>
      <w:r>
        <w:t xml:space="preserve"> July 2021</w:t>
      </w:r>
    </w:p>
    <w:p w:rsidR="00B0080D" w:rsidRPr="00D30E15" w:rsidP="00D30E15">
      <w:pPr>
        <w:pStyle w:val="Heading2"/>
      </w:pPr>
      <w:r w:rsidRPr="00D30E15">
        <w:t>Good Homes, Green Spaces and Healthy Places</w:t>
      </w:r>
    </w:p>
    <w:p w:rsidR="00D30E15" w:rsidP="00B0080D">
      <w:pPr>
        <w:numPr>
          <w:ilvl w:val="0"/>
          <w:numId w:val="8"/>
        </w:numPr>
        <w:spacing w:after="0" w:line="240" w:lineRule="auto"/>
        <w:jc w:val="both"/>
        <w:rPr>
          <w:rFonts w:cstheme="minorHAnsi"/>
          <w:bCs/>
          <w:iCs/>
        </w:rPr>
      </w:pPr>
      <w:r w:rsidRPr="005E48B7">
        <w:rPr>
          <w:rFonts w:cstheme="minorHAnsi"/>
          <w:bCs/>
          <w:iCs/>
        </w:rPr>
        <w:t>Th</w:t>
      </w:r>
      <w:r>
        <w:rPr>
          <w:rFonts w:cstheme="minorHAnsi"/>
          <w:bCs/>
          <w:iCs/>
        </w:rPr>
        <w:t>e ‘Bridleway in western Leyland’</w:t>
      </w:r>
      <w:r w:rsidRPr="005E48B7">
        <w:rPr>
          <w:rFonts w:cstheme="minorHAnsi"/>
          <w:bCs/>
          <w:iCs/>
        </w:rPr>
        <w:t xml:space="preserve"> is a new scheme with </w:t>
      </w:r>
      <w:r>
        <w:rPr>
          <w:rFonts w:cstheme="minorHAnsi"/>
          <w:bCs/>
          <w:iCs/>
        </w:rPr>
        <w:t>£7</w:t>
      </w:r>
      <w:r w:rsidRPr="005E48B7">
        <w:rPr>
          <w:rFonts w:cstheme="minorHAnsi"/>
          <w:bCs/>
          <w:iCs/>
        </w:rPr>
        <w:t xml:space="preserve">1k funding from external contributions and S106 and £10k from </w:t>
      </w:r>
      <w:r>
        <w:rPr>
          <w:rFonts w:cstheme="minorHAnsi"/>
          <w:bCs/>
          <w:iCs/>
        </w:rPr>
        <w:t xml:space="preserve">the </w:t>
      </w:r>
      <w:r w:rsidRPr="005E48B7">
        <w:rPr>
          <w:rFonts w:cstheme="minorHAnsi"/>
          <w:bCs/>
          <w:iCs/>
        </w:rPr>
        <w:t xml:space="preserve">green </w:t>
      </w:r>
      <w:r>
        <w:rPr>
          <w:rFonts w:cstheme="minorHAnsi"/>
          <w:bCs/>
          <w:iCs/>
        </w:rPr>
        <w:t>infrastructure budget</w:t>
      </w:r>
      <w:r w:rsidRPr="005E48B7">
        <w:rPr>
          <w:rFonts w:cstheme="minorHAnsi"/>
          <w:bCs/>
          <w:iCs/>
        </w:rPr>
        <w:t>.  The project will provide a 2.1km section of new bridleway which will create a new loop around western Leyland connecting with the existing bridleway network.</w:t>
      </w:r>
    </w:p>
    <w:p w:rsidR="005E48B7" w:rsidP="005E48B7">
      <w:pPr>
        <w:spacing w:after="0" w:line="240" w:lineRule="auto"/>
        <w:ind w:left="360"/>
        <w:jc w:val="both"/>
        <w:rPr>
          <w:rFonts w:cstheme="minorHAnsi"/>
          <w:bCs/>
          <w:iCs/>
        </w:rPr>
      </w:pPr>
    </w:p>
    <w:p w:rsidR="00E81A0B" w:rsidRPr="00E81A0B" w:rsidP="00E81A0B">
      <w:pPr>
        <w:numPr>
          <w:ilvl w:val="0"/>
          <w:numId w:val="8"/>
        </w:numPr>
        <w:spacing w:after="0" w:line="240" w:lineRule="auto"/>
        <w:jc w:val="both"/>
        <w:rPr>
          <w:rFonts w:cstheme="minorHAnsi"/>
          <w:bCs/>
          <w:iCs/>
        </w:rPr>
      </w:pPr>
      <w:r>
        <w:rPr>
          <w:rFonts w:cstheme="minorHAnsi"/>
          <w:bCs/>
          <w:iCs/>
        </w:rPr>
        <w:t>Four projects in Worden Park have been reprofiled to 2022/23; Craft Units - Windows and Security Grills, Farmyard Cottages - Heating, Sewerage pumping station, infrastructure and landscaping.  This is to avoid interference with the works to be carried out on the refurbishment of Worden Hall.</w:t>
      </w:r>
    </w:p>
    <w:p w:rsidR="00E81A0B" w:rsidP="00E81A0B">
      <w:pPr>
        <w:spacing w:after="0" w:line="240" w:lineRule="auto"/>
        <w:ind w:left="360"/>
        <w:jc w:val="both"/>
        <w:rPr>
          <w:rFonts w:cstheme="minorHAnsi"/>
          <w:bCs/>
          <w:iCs/>
        </w:rPr>
      </w:pPr>
    </w:p>
    <w:p w:rsidR="005E48B7" w:rsidP="00B0080D">
      <w:pPr>
        <w:numPr>
          <w:ilvl w:val="0"/>
          <w:numId w:val="8"/>
        </w:numPr>
        <w:spacing w:after="0" w:line="240" w:lineRule="auto"/>
        <w:jc w:val="both"/>
        <w:rPr>
          <w:rFonts w:cstheme="minorHAnsi"/>
          <w:bCs/>
          <w:iCs/>
        </w:rPr>
      </w:pPr>
      <w:r>
        <w:rPr>
          <w:rFonts w:cstheme="minorHAnsi"/>
          <w:bCs/>
          <w:iCs/>
        </w:rPr>
        <w:t>Approval has been given for an increase in the Worden Hall Refurbishment budget of £745k, which comprised £81.5k transferred from the Worden Park infrastructure and landscaping budget, £45k transferred from the Corporate Buildings budget , £250k funding from the asset maintenance reserve, £118.5k contributions from revenue repairs and maintenance budgets and £250k CIL funding to cover the contingency element of the budget.</w:t>
      </w:r>
    </w:p>
    <w:p w:rsidR="005E48B7" w:rsidP="005E48B7">
      <w:pPr>
        <w:spacing w:after="0" w:line="240" w:lineRule="auto"/>
        <w:ind w:left="360"/>
        <w:jc w:val="both"/>
        <w:rPr>
          <w:rFonts w:cstheme="minorHAnsi"/>
          <w:bCs/>
          <w:iCs/>
        </w:rPr>
      </w:pPr>
    </w:p>
    <w:p w:rsidR="00E81A0B" w:rsidRPr="00E81A0B" w:rsidP="00E81A0B">
      <w:pPr>
        <w:numPr>
          <w:ilvl w:val="0"/>
          <w:numId w:val="8"/>
        </w:numPr>
        <w:spacing w:after="0" w:line="240" w:lineRule="auto"/>
        <w:jc w:val="both"/>
        <w:rPr>
          <w:rFonts w:cstheme="minorHAnsi"/>
          <w:bCs/>
          <w:iCs/>
        </w:rPr>
      </w:pPr>
      <w:r>
        <w:rPr>
          <w:rFonts w:cstheme="minorHAnsi"/>
          <w:bCs/>
          <w:iCs/>
        </w:rPr>
        <w:t>The Bent Lane Open Space budget has an approved increase of £139k to cover the costs of decontamination works.</w:t>
      </w:r>
    </w:p>
    <w:p w:rsidR="00E81A0B" w:rsidP="00E81A0B">
      <w:pPr>
        <w:spacing w:after="0" w:line="240" w:lineRule="auto"/>
        <w:ind w:left="360"/>
        <w:jc w:val="both"/>
        <w:rPr>
          <w:rFonts w:cstheme="minorHAnsi"/>
          <w:bCs/>
          <w:iCs/>
        </w:rPr>
      </w:pPr>
    </w:p>
    <w:p w:rsidR="00E81A0B" w:rsidRPr="00E81A0B" w:rsidP="00E81A0B">
      <w:pPr>
        <w:numPr>
          <w:ilvl w:val="0"/>
          <w:numId w:val="8"/>
        </w:numPr>
        <w:spacing w:after="0" w:line="240" w:lineRule="auto"/>
        <w:jc w:val="both"/>
        <w:rPr>
          <w:rFonts w:cstheme="minorHAnsi"/>
          <w:bCs/>
          <w:iCs/>
        </w:rPr>
      </w:pPr>
      <w:bookmarkStart w:id="2" w:name="_Hlk80610541"/>
      <w:r>
        <w:rPr>
          <w:rFonts w:cstheme="minorHAnsi"/>
          <w:bCs/>
          <w:iCs/>
        </w:rPr>
        <w:t>The Sports Pitch Hub has an approved decrease in the scheme budget of £389k.  Approval was given to utilise this reduction to create a budget of £275k for works to leisure facilities, other than the leisure centres, such as pavilions and playing pitches.</w:t>
      </w:r>
    </w:p>
    <w:p w:rsidR="00D30E15" w:rsidP="00D30E15">
      <w:pPr>
        <w:spacing w:after="0" w:line="240" w:lineRule="auto"/>
        <w:jc w:val="both"/>
        <w:rPr>
          <w:rFonts w:cstheme="minorHAnsi"/>
          <w:bCs/>
          <w:iCs/>
        </w:rPr>
      </w:pPr>
      <w:bookmarkEnd w:id="2"/>
    </w:p>
    <w:p w:rsidR="00D30E15" w:rsidRPr="00D30E15" w:rsidP="00D30E15">
      <w:pPr>
        <w:pStyle w:val="Heading2"/>
      </w:pPr>
      <w:r w:rsidRPr="00D30E15">
        <w:t>A Fair Economy that works for everyone</w:t>
      </w:r>
    </w:p>
    <w:p w:rsidR="00837C0A" w:rsidP="00B0080D">
      <w:pPr>
        <w:numPr>
          <w:ilvl w:val="0"/>
          <w:numId w:val="8"/>
        </w:numPr>
        <w:spacing w:after="0" w:line="240" w:lineRule="auto"/>
        <w:jc w:val="both"/>
        <w:rPr>
          <w:rFonts w:cstheme="minorHAnsi"/>
          <w:bCs/>
          <w:iCs/>
        </w:rPr>
      </w:pPr>
      <w:r>
        <w:rPr>
          <w:rFonts w:cstheme="minorHAnsi"/>
          <w:bCs/>
          <w:iCs/>
        </w:rPr>
        <w:t xml:space="preserve">The Leyland Train Station Ticket Office project budget of £60k has been reprofiled to 2022/23.  </w:t>
      </w:r>
      <w:r w:rsidRPr="006E3004">
        <w:rPr>
          <w:rFonts w:cstheme="minorHAnsi"/>
          <w:bCs/>
          <w:iCs/>
        </w:rPr>
        <w:t>Th</w:t>
      </w:r>
      <w:r>
        <w:rPr>
          <w:rFonts w:cstheme="minorHAnsi"/>
          <w:bCs/>
          <w:iCs/>
        </w:rPr>
        <w:t>e</w:t>
      </w:r>
      <w:r w:rsidRPr="006E3004">
        <w:rPr>
          <w:rFonts w:cstheme="minorHAnsi"/>
          <w:bCs/>
          <w:iCs/>
        </w:rPr>
        <w:t xml:space="preserve"> project will be incorporated into the wider Leyland Town Deal.</w:t>
      </w:r>
    </w:p>
    <w:p w:rsidR="007815C3" w:rsidP="00E24AE3">
      <w:pPr>
        <w:spacing w:after="0" w:line="240" w:lineRule="auto"/>
        <w:jc w:val="both"/>
        <w:rPr>
          <w:rFonts w:cstheme="minorHAnsi"/>
          <w:bCs/>
          <w:iCs/>
        </w:rPr>
      </w:pPr>
    </w:p>
    <w:p w:rsidR="00D30E15" w:rsidRPr="00D30E15" w:rsidP="00D30E15">
      <w:pPr>
        <w:pStyle w:val="Heading2"/>
      </w:pPr>
      <w:r>
        <w:t>Thriving Communities</w:t>
      </w:r>
    </w:p>
    <w:p w:rsidR="00D30E15" w:rsidP="00D30E15">
      <w:pPr>
        <w:numPr>
          <w:ilvl w:val="0"/>
          <w:numId w:val="8"/>
        </w:numPr>
        <w:spacing w:after="0" w:line="240" w:lineRule="auto"/>
        <w:jc w:val="both"/>
        <w:rPr>
          <w:rFonts w:cstheme="minorHAnsi"/>
          <w:bCs/>
          <w:iCs/>
        </w:rPr>
      </w:pPr>
      <w:r>
        <w:rPr>
          <w:rFonts w:cstheme="minorHAnsi"/>
          <w:bCs/>
          <w:iCs/>
        </w:rPr>
        <w:t>No variations to note in the period.</w:t>
      </w:r>
    </w:p>
    <w:p w:rsidR="00D30E15" w:rsidP="00D30E15">
      <w:pPr>
        <w:spacing w:after="0" w:line="240" w:lineRule="auto"/>
        <w:jc w:val="both"/>
        <w:rPr>
          <w:rFonts w:cstheme="minorHAnsi"/>
          <w:bCs/>
          <w:iCs/>
        </w:rPr>
      </w:pPr>
    </w:p>
    <w:p w:rsidR="00D30E15" w:rsidRPr="00D30E15" w:rsidP="00D30E15">
      <w:pPr>
        <w:pStyle w:val="Heading2"/>
      </w:pPr>
      <w:r>
        <w:t>An Exemplary Council</w:t>
      </w:r>
    </w:p>
    <w:p w:rsidR="00D30E15" w:rsidP="00D30E15">
      <w:pPr>
        <w:numPr>
          <w:ilvl w:val="0"/>
          <w:numId w:val="8"/>
        </w:numPr>
        <w:spacing w:after="0" w:line="240" w:lineRule="auto"/>
        <w:jc w:val="both"/>
        <w:rPr>
          <w:rFonts w:cstheme="minorHAnsi"/>
          <w:bCs/>
          <w:iCs/>
        </w:rPr>
      </w:pPr>
      <w:r>
        <w:rPr>
          <w:rFonts w:cstheme="minorHAnsi"/>
          <w:bCs/>
          <w:iCs/>
        </w:rPr>
        <w:t xml:space="preserve">£150k of the IT capital budget has been allocated to the Network switching and wireless infrastructure project.  The project will </w:t>
      </w:r>
      <w:r w:rsidRPr="00E45710">
        <w:rPr>
          <w:rFonts w:cstheme="minorHAnsi"/>
          <w:bCs/>
          <w:iCs/>
        </w:rPr>
        <w:t>upgrade and unify the network to include access points for improved Wi-Fi coverage</w:t>
      </w:r>
      <w:r>
        <w:rPr>
          <w:rFonts w:cstheme="minorHAnsi"/>
          <w:bCs/>
          <w:iCs/>
        </w:rPr>
        <w:t>.  This project is being done in conjunction with Chorley Council with a total budget of £300k shared equally.  The other IT projects already included in the programme, and the use of the remaining unallocated budget, are under review.  A joint digital strategy for South Ribble and Chorley Councils will realign these budgets accordingly.</w:t>
      </w:r>
    </w:p>
    <w:p w:rsidR="00E45710" w:rsidP="00E45710">
      <w:pPr>
        <w:spacing w:after="0" w:line="240" w:lineRule="auto"/>
        <w:ind w:left="360"/>
        <w:jc w:val="both"/>
        <w:rPr>
          <w:rFonts w:cstheme="minorHAnsi"/>
          <w:bCs/>
          <w:iCs/>
        </w:rPr>
      </w:pPr>
    </w:p>
    <w:p w:rsidR="007E6949" w:rsidRPr="007E6949" w:rsidP="007E6949">
      <w:pPr>
        <w:numPr>
          <w:ilvl w:val="0"/>
          <w:numId w:val="8"/>
        </w:numPr>
        <w:spacing w:after="0" w:line="240" w:lineRule="auto"/>
        <w:jc w:val="both"/>
        <w:rPr>
          <w:rFonts w:cstheme="minorHAnsi"/>
          <w:bCs/>
          <w:iCs/>
        </w:rPr>
      </w:pPr>
      <w:r>
        <w:rPr>
          <w:rFonts w:cstheme="minorHAnsi"/>
          <w:bCs/>
          <w:iCs/>
        </w:rPr>
        <w:t>As noted above, £45k was transferred from the Corporate Buildings to the Worden Hall budget.</w:t>
      </w:r>
    </w:p>
    <w:p w:rsidR="007E6949" w:rsidP="007E6949">
      <w:pPr>
        <w:spacing w:after="0" w:line="240" w:lineRule="auto"/>
        <w:ind w:left="360"/>
        <w:jc w:val="both"/>
        <w:rPr>
          <w:rFonts w:cstheme="minorHAnsi"/>
          <w:bCs/>
          <w:iCs/>
        </w:rPr>
      </w:pPr>
    </w:p>
    <w:p w:rsidR="007E6949" w:rsidRPr="007E6949" w:rsidP="007E6949">
      <w:pPr>
        <w:numPr>
          <w:ilvl w:val="0"/>
          <w:numId w:val="8"/>
        </w:numPr>
        <w:spacing w:after="0" w:line="240" w:lineRule="auto"/>
        <w:jc w:val="both"/>
        <w:rPr>
          <w:rFonts w:cstheme="minorHAnsi"/>
          <w:bCs/>
          <w:iCs/>
        </w:rPr>
      </w:pPr>
      <w:r>
        <w:rPr>
          <w:rFonts w:cstheme="minorHAnsi"/>
          <w:bCs/>
          <w:iCs/>
        </w:rPr>
        <w:t>The budgets for four projects relating to decarbonisation works in the Civic Centre have been either adjusted or created following approval in an Executive Member Decision.  The total budget for the projects is £145k which is all grant funded.</w:t>
      </w:r>
    </w:p>
    <w:p w:rsidR="007E6949" w:rsidP="007E6949">
      <w:pPr>
        <w:spacing w:after="0" w:line="240" w:lineRule="auto"/>
        <w:ind w:left="360"/>
        <w:jc w:val="both"/>
        <w:rPr>
          <w:rFonts w:cstheme="minorHAnsi"/>
          <w:bCs/>
          <w:iCs/>
        </w:rPr>
      </w:pPr>
    </w:p>
    <w:p w:rsidR="007E6949" w:rsidRPr="000E34F8" w:rsidP="007E6949">
      <w:pPr>
        <w:numPr>
          <w:ilvl w:val="0"/>
          <w:numId w:val="8"/>
        </w:numPr>
        <w:spacing w:after="0" w:line="240" w:lineRule="auto"/>
        <w:jc w:val="both"/>
        <w:rPr>
          <w:rFonts w:cstheme="minorHAnsi"/>
          <w:bCs/>
          <w:iCs/>
        </w:rPr>
      </w:pPr>
      <w:r w:rsidRPr="000E34F8">
        <w:rPr>
          <w:rFonts w:cstheme="minorHAnsi"/>
          <w:bCs/>
          <w:iCs/>
        </w:rPr>
        <w:t>The forecast for the Vehicle Replacement Programme has increased by £130k due to two additional replacement vehicles being required; a sweeper which was damaged in a traffic accident and a waste collection vehicle that was damaged by a fire.  Insurance proceeds of £70k, which will be treated as a capital receipt, has been received.  It is requested to increase the Vehicle Replacement budget by £130k to reflect the increased costs and fund this with the £70k capital receipt and £60k with potential borrowing if required.</w:t>
      </w:r>
    </w:p>
    <w:p w:rsidR="007E6949" w:rsidP="007E6949">
      <w:pPr>
        <w:spacing w:after="0" w:line="240" w:lineRule="auto"/>
        <w:ind w:left="360"/>
        <w:jc w:val="both"/>
        <w:rPr>
          <w:rFonts w:cstheme="minorHAnsi"/>
          <w:bCs/>
          <w:iCs/>
        </w:rPr>
      </w:pPr>
    </w:p>
    <w:p w:rsidR="00D30E15" w:rsidP="00E24AE3">
      <w:pPr>
        <w:spacing w:after="0" w:line="240" w:lineRule="auto"/>
        <w:jc w:val="both"/>
        <w:rPr>
          <w:rFonts w:cstheme="minorHAnsi"/>
          <w:bCs/>
          <w:iCs/>
        </w:rPr>
      </w:pPr>
    </w:p>
    <w:p w:rsidR="00D30E15" w:rsidRPr="00D30E15" w:rsidP="00D30E15">
      <w:pPr>
        <w:pStyle w:val="Heading2"/>
        <w:rPr>
          <w:u w:val="single"/>
        </w:rPr>
      </w:pPr>
      <w:r>
        <w:rPr>
          <w:u w:val="single"/>
        </w:rPr>
        <w:t xml:space="preserve">Section B: </w:t>
      </w:r>
      <w:r w:rsidRPr="00D30E15">
        <w:rPr>
          <w:u w:val="single"/>
        </w:rPr>
        <w:t>Balance Sheet</w:t>
      </w:r>
    </w:p>
    <w:p w:rsidR="00D30E15" w:rsidRPr="00D30E15" w:rsidP="00D30E15">
      <w:pPr>
        <w:pStyle w:val="Heading2"/>
      </w:pPr>
      <w:r>
        <w:t>Overview</w:t>
      </w:r>
    </w:p>
    <w:p w:rsidR="00D30E15" w:rsidP="00D30E15">
      <w:pPr>
        <w:numPr>
          <w:ilvl w:val="0"/>
          <w:numId w:val="8"/>
        </w:numPr>
        <w:spacing w:after="0" w:line="240" w:lineRule="auto"/>
        <w:jc w:val="both"/>
        <w:rPr>
          <w:rFonts w:cstheme="minorHAnsi"/>
          <w:bCs/>
          <w:iCs/>
        </w:rPr>
      </w:pPr>
      <w:r w:rsidRPr="007148BC">
        <w:rPr>
          <w:rFonts w:cstheme="minorHAnsi"/>
          <w:bCs/>
          <w:iCs/>
        </w:rPr>
        <w:t>Strong balance sheet management assists in the effective use and control over the Council’s asset and liabilities. Key assets comprise of the Council’s tangible fixed assets, debtors, investments and bank balances. Key liabilities include long and short-term borrowing, creditors and reserves</w:t>
      </w:r>
      <w:r>
        <w:rPr>
          <w:rFonts w:cstheme="minorHAnsi"/>
          <w:bCs/>
          <w:iCs/>
        </w:rPr>
        <w:t>.</w:t>
      </w:r>
    </w:p>
    <w:p w:rsidR="00D30E15" w:rsidP="00E24AE3">
      <w:pPr>
        <w:spacing w:after="0" w:line="240" w:lineRule="auto"/>
        <w:jc w:val="both"/>
        <w:rPr>
          <w:rFonts w:cstheme="minorHAnsi"/>
          <w:bCs/>
          <w:iCs/>
        </w:rPr>
      </w:pPr>
    </w:p>
    <w:p w:rsidR="00D30E15" w:rsidRPr="00D30E15" w:rsidP="00D30E15">
      <w:pPr>
        <w:pStyle w:val="Heading2"/>
      </w:pPr>
      <w:r w:rsidRPr="00D30E15">
        <w:t>Non-current Assets</w:t>
      </w:r>
    </w:p>
    <w:p w:rsidR="00D30E15" w:rsidRPr="00CE41AB" w:rsidP="00D30E15">
      <w:pPr>
        <w:numPr>
          <w:ilvl w:val="0"/>
          <w:numId w:val="8"/>
        </w:numPr>
        <w:spacing w:after="0" w:line="240" w:lineRule="auto"/>
        <w:jc w:val="both"/>
        <w:rPr>
          <w:rFonts w:cstheme="minorHAnsi"/>
          <w:bCs/>
          <w:iCs/>
        </w:rPr>
      </w:pPr>
      <w:r w:rsidRPr="007148BC">
        <w:rPr>
          <w:rFonts w:cstheme="minorHAnsi"/>
          <w:bCs/>
          <w:iCs/>
        </w:rPr>
        <w:t xml:space="preserve">Tangible non-current assets include property, plant and equipment held by the Council for use in the production or supply of goods and services, for rental to others or for administrative purposes. One fifth of all assets are re-valued every year, and annual reviews are undertaken to establish whether any impairment or other adjustments need to be applied. New assets and enhancements to existing assets are managed through the Capital Programme as </w:t>
      </w:r>
      <w:r w:rsidRPr="00CE41AB">
        <w:rPr>
          <w:rFonts w:cstheme="minorHAnsi"/>
          <w:bCs/>
          <w:iCs/>
        </w:rPr>
        <w:t>reported in Appendices A and B.</w:t>
      </w:r>
    </w:p>
    <w:p w:rsidR="00D30E15" w:rsidP="00E24AE3">
      <w:pPr>
        <w:spacing w:after="0" w:line="240" w:lineRule="auto"/>
        <w:jc w:val="both"/>
        <w:rPr>
          <w:rFonts w:cstheme="minorHAnsi"/>
          <w:bCs/>
          <w:iCs/>
        </w:rPr>
      </w:pPr>
    </w:p>
    <w:p w:rsidR="00D30E15" w:rsidRPr="00D30E15" w:rsidP="00D30E15">
      <w:pPr>
        <w:pStyle w:val="Heading2"/>
      </w:pPr>
      <w:r w:rsidRPr="00D30E15">
        <w:t>Borrowing and Investments</w:t>
      </w:r>
    </w:p>
    <w:p w:rsidR="00D30E15" w:rsidP="00D30E15">
      <w:pPr>
        <w:numPr>
          <w:ilvl w:val="0"/>
          <w:numId w:val="8"/>
        </w:numPr>
        <w:spacing w:after="0" w:line="240" w:lineRule="auto"/>
        <w:jc w:val="both"/>
        <w:rPr>
          <w:rFonts w:cstheme="minorHAnsi"/>
          <w:bCs/>
          <w:iCs/>
        </w:rPr>
      </w:pPr>
      <w:r w:rsidRPr="007148BC">
        <w:rPr>
          <w:rFonts w:cstheme="minorHAnsi"/>
          <w:bCs/>
          <w:iCs/>
        </w:rPr>
        <w:t xml:space="preserve">Long-term borrowing requirements flow from the capital programme. Regular dialogue and meetings take place between the Director of Finance, her staff and the Council’s independent Treasury </w:t>
      </w:r>
      <w:r w:rsidRPr="00C25EDA">
        <w:rPr>
          <w:rFonts w:cstheme="minorHAnsi"/>
          <w:bCs/>
          <w:iCs/>
        </w:rPr>
        <w:t>Consultants, Link Treasury Services, and</w:t>
      </w:r>
      <w:r w:rsidRPr="007148BC">
        <w:rPr>
          <w:rFonts w:cstheme="minorHAnsi"/>
          <w:bCs/>
          <w:iCs/>
        </w:rPr>
        <w:t xml:space="preserve"> options for optimising treasury management activities are actively reviewed.</w:t>
      </w:r>
    </w:p>
    <w:p w:rsidR="007148BC" w:rsidP="007148BC">
      <w:pPr>
        <w:spacing w:after="0" w:line="240" w:lineRule="auto"/>
        <w:ind w:left="360"/>
        <w:jc w:val="both"/>
        <w:rPr>
          <w:rFonts w:cstheme="minorHAnsi"/>
          <w:bCs/>
          <w:iCs/>
        </w:rPr>
      </w:pPr>
    </w:p>
    <w:p w:rsidR="007148BC" w:rsidRPr="00D461E1" w:rsidP="007148BC">
      <w:pPr>
        <w:numPr>
          <w:ilvl w:val="0"/>
          <w:numId w:val="8"/>
        </w:numPr>
        <w:spacing w:after="0" w:line="240" w:lineRule="auto"/>
        <w:jc w:val="both"/>
        <w:rPr>
          <w:rFonts w:cstheme="minorHAnsi"/>
          <w:bCs/>
          <w:iCs/>
        </w:rPr>
      </w:pPr>
      <w:r w:rsidRPr="00EB17F7">
        <w:rPr>
          <w:rFonts w:cstheme="minorHAnsi"/>
          <w:bCs/>
          <w:iCs/>
        </w:rPr>
        <w:t xml:space="preserve">Both short and long-term borrowing interest rates were at low levels at the end of the period, having remained stable over the course of the first </w:t>
      </w:r>
      <w:r>
        <w:rPr>
          <w:rFonts w:cstheme="minorHAnsi"/>
          <w:bCs/>
          <w:iCs/>
        </w:rPr>
        <w:t xml:space="preserve">few </w:t>
      </w:r>
      <w:r w:rsidRPr="00EB17F7">
        <w:rPr>
          <w:rFonts w:cstheme="minorHAnsi"/>
          <w:bCs/>
          <w:iCs/>
        </w:rPr>
        <w:t>months of the year. Interest rates on investments have remained negligible throughout the period. It is projected that</w:t>
      </w:r>
      <w:r w:rsidRPr="00D461E1">
        <w:rPr>
          <w:rFonts w:cstheme="minorHAnsi"/>
          <w:bCs/>
          <w:iCs/>
        </w:rPr>
        <w:t xml:space="preserve"> debt interest payable will be nil compared to a budget of £83k as a result of expected borrowing not being required due to </w:t>
      </w:r>
      <w:r>
        <w:rPr>
          <w:rFonts w:cstheme="minorHAnsi"/>
          <w:bCs/>
          <w:iCs/>
        </w:rPr>
        <w:t xml:space="preserve">the </w:t>
      </w:r>
      <w:r w:rsidRPr="00D461E1">
        <w:rPr>
          <w:rFonts w:cstheme="minorHAnsi"/>
          <w:bCs/>
          <w:iCs/>
        </w:rPr>
        <w:t xml:space="preserve">timing of </w:t>
      </w:r>
      <w:r>
        <w:rPr>
          <w:rFonts w:cstheme="minorHAnsi"/>
          <w:bCs/>
          <w:iCs/>
        </w:rPr>
        <w:t xml:space="preserve">schemes within </w:t>
      </w:r>
      <w:r w:rsidRPr="00D461E1">
        <w:rPr>
          <w:rFonts w:cstheme="minorHAnsi"/>
          <w:bCs/>
          <w:iCs/>
        </w:rPr>
        <w:t>the capital programme</w:t>
      </w:r>
      <w:r>
        <w:rPr>
          <w:rFonts w:cstheme="minorHAnsi"/>
          <w:bCs/>
          <w:iCs/>
        </w:rPr>
        <w:t>, and due to</w:t>
      </w:r>
      <w:r w:rsidRPr="00D461E1">
        <w:rPr>
          <w:rFonts w:cstheme="minorHAnsi"/>
          <w:bCs/>
          <w:iCs/>
        </w:rPr>
        <w:t xml:space="preserve"> positive cash balances</w:t>
      </w:r>
      <w:r>
        <w:rPr>
          <w:rFonts w:cstheme="minorHAnsi"/>
          <w:bCs/>
          <w:iCs/>
        </w:rPr>
        <w:t>.  Interest receivable on cash and investments is forecasted to be £100k compared to a budget of £200k due to interest rates being lower than those estimated at budget setting.</w:t>
      </w:r>
    </w:p>
    <w:p w:rsidR="007148BC" w:rsidP="007148BC">
      <w:pPr>
        <w:spacing w:after="0" w:line="240" w:lineRule="auto"/>
        <w:ind w:left="360"/>
        <w:jc w:val="both"/>
        <w:rPr>
          <w:rFonts w:cstheme="minorHAnsi"/>
          <w:bCs/>
          <w:iCs/>
        </w:rPr>
      </w:pPr>
    </w:p>
    <w:tbl>
      <w:tblPr>
        <w:tblStyle w:val="TableGrid"/>
        <w:tblW w:w="0" w:type="auto"/>
        <w:tblInd w:w="279" w:type="dxa"/>
        <w:tblLook w:val="04A0"/>
      </w:tblPr>
      <w:tblGrid>
        <w:gridCol w:w="3827"/>
        <w:gridCol w:w="2455"/>
        <w:gridCol w:w="2455"/>
      </w:tblGrid>
      <w:tr w:rsidTr="000E34F8">
        <w:tblPrEx>
          <w:tblW w:w="0" w:type="auto"/>
          <w:tblInd w:w="279" w:type="dxa"/>
          <w:tblLook w:val="04A0"/>
        </w:tblPrEx>
        <w:tc>
          <w:tcPr>
            <w:tcW w:w="3827" w:type="dxa"/>
            <w:shd w:val="clear" w:color="auto" w:fill="D9D9D9" w:themeFill="background1" w:themeFillShade="D9"/>
          </w:tcPr>
          <w:p w:rsidR="007148BC" w:rsidRPr="00E477A9" w:rsidP="007451F5">
            <w:pPr>
              <w:jc w:val="both"/>
              <w:rPr>
                <w:rFonts w:cstheme="minorHAnsi"/>
                <w:b/>
              </w:rPr>
            </w:pPr>
          </w:p>
        </w:tc>
        <w:tc>
          <w:tcPr>
            <w:tcW w:w="2455" w:type="dxa"/>
            <w:shd w:val="clear" w:color="auto" w:fill="D9D9D9" w:themeFill="background1" w:themeFillShade="D9"/>
          </w:tcPr>
          <w:p w:rsidR="007148BC" w:rsidP="007451F5">
            <w:pPr>
              <w:jc w:val="center"/>
              <w:rPr>
                <w:rFonts w:cstheme="minorHAnsi"/>
                <w:b/>
              </w:rPr>
            </w:pPr>
            <w:r w:rsidRPr="00E477A9">
              <w:rPr>
                <w:rFonts w:cstheme="minorHAnsi"/>
                <w:b/>
              </w:rPr>
              <w:t>Original Budget</w:t>
            </w:r>
          </w:p>
          <w:p w:rsidR="007148BC" w:rsidP="007451F5">
            <w:pPr>
              <w:jc w:val="center"/>
              <w:rPr>
                <w:rFonts w:cstheme="minorHAnsi"/>
                <w:b/>
              </w:rPr>
            </w:pPr>
            <w:r>
              <w:rPr>
                <w:rFonts w:cstheme="minorHAnsi"/>
                <w:b/>
              </w:rPr>
              <w:t>2021/22</w:t>
            </w:r>
          </w:p>
          <w:p w:rsidR="0058054F" w:rsidRPr="00E477A9" w:rsidP="007451F5">
            <w:pPr>
              <w:jc w:val="center"/>
              <w:rPr>
                <w:rFonts w:cstheme="minorHAnsi"/>
                <w:b/>
              </w:rPr>
            </w:pPr>
            <w:r>
              <w:rPr>
                <w:rFonts w:cstheme="minorHAnsi"/>
                <w:b/>
              </w:rPr>
              <w:t>£’000</w:t>
            </w:r>
          </w:p>
        </w:tc>
        <w:tc>
          <w:tcPr>
            <w:tcW w:w="2455" w:type="dxa"/>
            <w:shd w:val="clear" w:color="auto" w:fill="D9D9D9" w:themeFill="background1" w:themeFillShade="D9"/>
          </w:tcPr>
          <w:p w:rsidR="007148BC" w:rsidP="007451F5">
            <w:pPr>
              <w:jc w:val="center"/>
              <w:rPr>
                <w:rFonts w:cstheme="minorHAnsi"/>
                <w:b/>
              </w:rPr>
            </w:pPr>
            <w:r w:rsidRPr="00E477A9">
              <w:rPr>
                <w:rFonts w:cstheme="minorHAnsi"/>
                <w:b/>
              </w:rPr>
              <w:t xml:space="preserve">Forecast </w:t>
            </w:r>
            <w:r>
              <w:rPr>
                <w:rFonts w:cstheme="minorHAnsi"/>
                <w:b/>
              </w:rPr>
              <w:t xml:space="preserve">as </w:t>
            </w:r>
            <w:r w:rsidRPr="00E477A9">
              <w:rPr>
                <w:rFonts w:cstheme="minorHAnsi"/>
                <w:b/>
              </w:rPr>
              <w:t xml:space="preserve">at </w:t>
            </w:r>
            <w:r>
              <w:rPr>
                <w:rFonts w:cstheme="minorHAnsi"/>
                <w:b/>
              </w:rPr>
              <w:t>31</w:t>
            </w:r>
            <w:r w:rsidRPr="00D461E1">
              <w:rPr>
                <w:rFonts w:cstheme="minorHAnsi"/>
                <w:b/>
                <w:vertAlign w:val="superscript"/>
              </w:rPr>
              <w:t>st</w:t>
            </w:r>
            <w:r>
              <w:rPr>
                <w:rFonts w:cstheme="minorHAnsi"/>
                <w:b/>
              </w:rPr>
              <w:t xml:space="preserve"> July 2021/22</w:t>
            </w:r>
          </w:p>
          <w:p w:rsidR="0058054F" w:rsidRPr="00E477A9" w:rsidP="007451F5">
            <w:pPr>
              <w:jc w:val="center"/>
              <w:rPr>
                <w:rFonts w:cstheme="minorHAnsi"/>
                <w:b/>
              </w:rPr>
            </w:pPr>
            <w:r>
              <w:rPr>
                <w:rFonts w:cstheme="minorHAnsi"/>
                <w:b/>
              </w:rPr>
              <w:t>£’000</w:t>
            </w:r>
          </w:p>
        </w:tc>
      </w:tr>
      <w:tr w:rsidTr="000E34F8">
        <w:tblPrEx>
          <w:tblW w:w="0" w:type="auto"/>
          <w:tblInd w:w="279" w:type="dxa"/>
          <w:tblLook w:val="04A0"/>
        </w:tblPrEx>
        <w:tc>
          <w:tcPr>
            <w:tcW w:w="3827" w:type="dxa"/>
          </w:tcPr>
          <w:p w:rsidR="007148BC" w:rsidP="007451F5">
            <w:pPr>
              <w:jc w:val="both"/>
              <w:rPr>
                <w:rFonts w:cstheme="minorHAnsi"/>
                <w:bCs/>
              </w:rPr>
            </w:pPr>
            <w:r>
              <w:rPr>
                <w:rFonts w:cstheme="minorHAnsi"/>
                <w:bCs/>
              </w:rPr>
              <w:t>Interest and Investment Income</w:t>
            </w:r>
          </w:p>
        </w:tc>
        <w:tc>
          <w:tcPr>
            <w:tcW w:w="2455" w:type="dxa"/>
          </w:tcPr>
          <w:p w:rsidR="007148BC" w:rsidP="007451F5">
            <w:pPr>
              <w:jc w:val="center"/>
              <w:rPr>
                <w:rFonts w:cstheme="minorHAnsi"/>
                <w:bCs/>
              </w:rPr>
            </w:pPr>
            <w:r>
              <w:rPr>
                <w:rFonts w:cstheme="minorHAnsi"/>
                <w:bCs/>
              </w:rPr>
              <w:t>(200)</w:t>
            </w:r>
          </w:p>
        </w:tc>
        <w:tc>
          <w:tcPr>
            <w:tcW w:w="2455" w:type="dxa"/>
          </w:tcPr>
          <w:p w:rsidR="007148BC" w:rsidP="007451F5">
            <w:pPr>
              <w:jc w:val="center"/>
              <w:rPr>
                <w:rFonts w:cstheme="minorHAnsi"/>
                <w:bCs/>
              </w:rPr>
            </w:pPr>
            <w:r>
              <w:rPr>
                <w:rFonts w:cstheme="minorHAnsi"/>
                <w:bCs/>
              </w:rPr>
              <w:t>(100)</w:t>
            </w:r>
          </w:p>
        </w:tc>
      </w:tr>
      <w:tr w:rsidTr="000E34F8">
        <w:tblPrEx>
          <w:tblW w:w="0" w:type="auto"/>
          <w:tblInd w:w="279" w:type="dxa"/>
          <w:tblLook w:val="04A0"/>
        </w:tblPrEx>
        <w:tc>
          <w:tcPr>
            <w:tcW w:w="3827" w:type="dxa"/>
          </w:tcPr>
          <w:p w:rsidR="007148BC" w:rsidP="007451F5">
            <w:pPr>
              <w:jc w:val="both"/>
              <w:rPr>
                <w:rFonts w:cstheme="minorHAnsi"/>
                <w:bCs/>
              </w:rPr>
            </w:pPr>
            <w:r>
              <w:rPr>
                <w:rFonts w:cstheme="minorHAnsi"/>
                <w:bCs/>
              </w:rPr>
              <w:t>Debt Interest Payable</w:t>
            </w:r>
          </w:p>
        </w:tc>
        <w:tc>
          <w:tcPr>
            <w:tcW w:w="2455" w:type="dxa"/>
          </w:tcPr>
          <w:p w:rsidR="007148BC" w:rsidP="007451F5">
            <w:pPr>
              <w:jc w:val="center"/>
              <w:rPr>
                <w:rFonts w:cstheme="minorHAnsi"/>
                <w:bCs/>
              </w:rPr>
            </w:pPr>
            <w:r>
              <w:rPr>
                <w:rFonts w:cstheme="minorHAnsi"/>
                <w:bCs/>
              </w:rPr>
              <w:t>83</w:t>
            </w:r>
          </w:p>
        </w:tc>
        <w:tc>
          <w:tcPr>
            <w:tcW w:w="2455" w:type="dxa"/>
          </w:tcPr>
          <w:p w:rsidR="007148BC" w:rsidP="007451F5">
            <w:pPr>
              <w:jc w:val="center"/>
              <w:rPr>
                <w:rFonts w:cstheme="minorHAnsi"/>
                <w:bCs/>
              </w:rPr>
            </w:pPr>
            <w:r>
              <w:rPr>
                <w:rFonts w:cstheme="minorHAnsi"/>
                <w:bCs/>
              </w:rPr>
              <w:t>0</w:t>
            </w:r>
          </w:p>
        </w:tc>
      </w:tr>
      <w:tr w:rsidTr="000E34F8">
        <w:tblPrEx>
          <w:tblW w:w="0" w:type="auto"/>
          <w:tblInd w:w="279" w:type="dxa"/>
          <w:tblLook w:val="04A0"/>
        </w:tblPrEx>
        <w:tc>
          <w:tcPr>
            <w:tcW w:w="3827" w:type="dxa"/>
          </w:tcPr>
          <w:p w:rsidR="007148BC" w:rsidP="007451F5">
            <w:pPr>
              <w:jc w:val="both"/>
              <w:rPr>
                <w:rFonts w:cstheme="minorHAnsi"/>
                <w:bCs/>
              </w:rPr>
            </w:pPr>
            <w:r>
              <w:rPr>
                <w:rFonts w:cstheme="minorHAnsi"/>
                <w:bCs/>
              </w:rPr>
              <w:t>Minimum Revenue Provision (MRP)</w:t>
            </w:r>
          </w:p>
        </w:tc>
        <w:tc>
          <w:tcPr>
            <w:tcW w:w="2455" w:type="dxa"/>
          </w:tcPr>
          <w:p w:rsidR="007148BC" w:rsidP="007451F5">
            <w:pPr>
              <w:jc w:val="center"/>
              <w:rPr>
                <w:rFonts w:cstheme="minorHAnsi"/>
                <w:bCs/>
              </w:rPr>
            </w:pPr>
            <w:r>
              <w:rPr>
                <w:rFonts w:cstheme="minorHAnsi"/>
                <w:bCs/>
              </w:rPr>
              <w:t>298</w:t>
            </w:r>
          </w:p>
        </w:tc>
        <w:tc>
          <w:tcPr>
            <w:tcW w:w="2455" w:type="dxa"/>
          </w:tcPr>
          <w:p w:rsidR="007148BC" w:rsidP="007451F5">
            <w:pPr>
              <w:jc w:val="center"/>
              <w:rPr>
                <w:rFonts w:cstheme="minorHAnsi"/>
                <w:bCs/>
              </w:rPr>
            </w:pPr>
            <w:r>
              <w:rPr>
                <w:rFonts w:cstheme="minorHAnsi"/>
                <w:bCs/>
              </w:rPr>
              <w:t>298</w:t>
            </w:r>
          </w:p>
        </w:tc>
      </w:tr>
      <w:tr w:rsidTr="000E34F8">
        <w:tblPrEx>
          <w:tblW w:w="0" w:type="auto"/>
          <w:tblInd w:w="279" w:type="dxa"/>
          <w:tblLook w:val="04A0"/>
        </w:tblPrEx>
        <w:tc>
          <w:tcPr>
            <w:tcW w:w="3827" w:type="dxa"/>
            <w:shd w:val="clear" w:color="auto" w:fill="D9D9D9" w:themeFill="background1" w:themeFillShade="D9"/>
          </w:tcPr>
          <w:p w:rsidR="007148BC" w:rsidRPr="00E477A9" w:rsidP="007451F5">
            <w:pPr>
              <w:jc w:val="both"/>
              <w:rPr>
                <w:rFonts w:cstheme="minorHAnsi"/>
                <w:b/>
              </w:rPr>
            </w:pPr>
            <w:r w:rsidRPr="00E477A9">
              <w:rPr>
                <w:rFonts w:cstheme="minorHAnsi"/>
                <w:b/>
              </w:rPr>
              <w:t>TOTAL</w:t>
            </w:r>
          </w:p>
        </w:tc>
        <w:tc>
          <w:tcPr>
            <w:tcW w:w="2455" w:type="dxa"/>
            <w:shd w:val="clear" w:color="auto" w:fill="D9D9D9" w:themeFill="background1" w:themeFillShade="D9"/>
          </w:tcPr>
          <w:p w:rsidR="007148BC" w:rsidRPr="00E477A9" w:rsidP="007451F5">
            <w:pPr>
              <w:jc w:val="center"/>
              <w:rPr>
                <w:rFonts w:cstheme="minorHAnsi"/>
                <w:b/>
              </w:rPr>
            </w:pPr>
            <w:r>
              <w:rPr>
                <w:rFonts w:cstheme="minorHAnsi"/>
                <w:b/>
              </w:rPr>
              <w:t>181</w:t>
            </w:r>
          </w:p>
        </w:tc>
        <w:tc>
          <w:tcPr>
            <w:tcW w:w="2455" w:type="dxa"/>
            <w:shd w:val="clear" w:color="auto" w:fill="D9D9D9" w:themeFill="background1" w:themeFillShade="D9"/>
          </w:tcPr>
          <w:p w:rsidR="007148BC" w:rsidRPr="00E477A9" w:rsidP="007451F5">
            <w:pPr>
              <w:jc w:val="center"/>
              <w:rPr>
                <w:rFonts w:cstheme="minorHAnsi"/>
                <w:b/>
              </w:rPr>
            </w:pPr>
            <w:r>
              <w:rPr>
                <w:rFonts w:cstheme="minorHAnsi"/>
                <w:b/>
              </w:rPr>
              <w:t>198</w:t>
            </w:r>
          </w:p>
        </w:tc>
      </w:tr>
    </w:tbl>
    <w:p w:rsidR="007148BC" w:rsidP="007148BC">
      <w:pPr>
        <w:spacing w:after="0" w:line="240" w:lineRule="auto"/>
        <w:ind w:left="360"/>
        <w:jc w:val="both"/>
        <w:rPr>
          <w:rFonts w:cstheme="minorHAnsi"/>
          <w:bCs/>
          <w:iCs/>
        </w:rPr>
      </w:pPr>
    </w:p>
    <w:p w:rsidR="007148BC" w:rsidP="007148BC">
      <w:pPr>
        <w:spacing w:after="0" w:line="240" w:lineRule="auto"/>
        <w:ind w:left="360"/>
        <w:jc w:val="both"/>
        <w:rPr>
          <w:rFonts w:cstheme="minorHAnsi"/>
          <w:bCs/>
          <w:iCs/>
        </w:rPr>
      </w:pPr>
    </w:p>
    <w:p w:rsidR="007148BC" w:rsidP="007148BC">
      <w:pPr>
        <w:numPr>
          <w:ilvl w:val="0"/>
          <w:numId w:val="8"/>
        </w:numPr>
        <w:spacing w:after="0" w:line="240" w:lineRule="auto"/>
        <w:jc w:val="both"/>
        <w:rPr>
          <w:rFonts w:cstheme="minorHAnsi"/>
          <w:bCs/>
          <w:iCs/>
        </w:rPr>
      </w:pPr>
      <w:r w:rsidRPr="00C01DB3">
        <w:rPr>
          <w:rFonts w:cstheme="minorHAnsi"/>
          <w:bCs/>
        </w:rPr>
        <w:t>The current borrowing and investment position is as follows;</w:t>
      </w:r>
    </w:p>
    <w:p w:rsidR="00D30E15" w:rsidP="00E24AE3">
      <w:pPr>
        <w:spacing w:after="0" w:line="240" w:lineRule="auto"/>
        <w:jc w:val="both"/>
        <w:rPr>
          <w:rFonts w:cstheme="minorHAnsi"/>
          <w:bCs/>
          <w:iCs/>
        </w:rPr>
      </w:pPr>
    </w:p>
    <w:p w:rsidR="00756FF4" w:rsidP="00E24AE3">
      <w:pPr>
        <w:spacing w:after="0" w:line="240" w:lineRule="auto"/>
        <w:jc w:val="both"/>
        <w:rPr>
          <w:rFonts w:cstheme="minorHAnsi"/>
          <w:bCs/>
          <w:iCs/>
        </w:rPr>
      </w:pPr>
    </w:p>
    <w:tbl>
      <w:tblPr>
        <w:tblStyle w:val="TableGrid"/>
        <w:tblW w:w="0" w:type="auto"/>
        <w:tblInd w:w="279" w:type="dxa"/>
        <w:tblLook w:val="04A0"/>
      </w:tblPr>
      <w:tblGrid>
        <w:gridCol w:w="3827"/>
        <w:gridCol w:w="2552"/>
        <w:gridCol w:w="2358"/>
      </w:tblGrid>
      <w:tr w:rsidTr="000E34F8">
        <w:tblPrEx>
          <w:tblW w:w="0" w:type="auto"/>
          <w:tblInd w:w="279" w:type="dxa"/>
          <w:tblLook w:val="04A0"/>
        </w:tblPrEx>
        <w:tc>
          <w:tcPr>
            <w:tcW w:w="3827" w:type="dxa"/>
            <w:shd w:val="clear" w:color="auto" w:fill="D9D9D9" w:themeFill="background1" w:themeFillShade="D9"/>
          </w:tcPr>
          <w:p w:rsidR="007148BC" w:rsidRPr="00E477A9" w:rsidP="007451F5">
            <w:pPr>
              <w:jc w:val="both"/>
              <w:rPr>
                <w:rFonts w:cstheme="minorHAnsi"/>
                <w:b/>
              </w:rPr>
            </w:pPr>
          </w:p>
        </w:tc>
        <w:tc>
          <w:tcPr>
            <w:tcW w:w="2552" w:type="dxa"/>
            <w:shd w:val="clear" w:color="auto" w:fill="D9D9D9" w:themeFill="background1" w:themeFillShade="D9"/>
          </w:tcPr>
          <w:p w:rsidR="007148BC" w:rsidRPr="00E477A9" w:rsidP="007451F5">
            <w:pPr>
              <w:jc w:val="center"/>
              <w:rPr>
                <w:rFonts w:cstheme="minorHAnsi"/>
                <w:b/>
              </w:rPr>
            </w:pPr>
            <w:r w:rsidRPr="00E477A9">
              <w:rPr>
                <w:rFonts w:cstheme="minorHAnsi"/>
                <w:b/>
              </w:rPr>
              <w:t>As at 3</w:t>
            </w:r>
            <w:r>
              <w:rPr>
                <w:rFonts w:cstheme="minorHAnsi"/>
                <w:b/>
              </w:rPr>
              <w:t>1</w:t>
            </w:r>
            <w:r w:rsidRPr="00E477A9">
              <w:rPr>
                <w:rFonts w:cstheme="minorHAnsi"/>
                <w:b/>
                <w:vertAlign w:val="superscript"/>
              </w:rPr>
              <w:t>th</w:t>
            </w:r>
            <w:r w:rsidRPr="00E477A9">
              <w:rPr>
                <w:rFonts w:cstheme="minorHAnsi"/>
                <w:b/>
              </w:rPr>
              <w:t xml:space="preserve"> Ju</w:t>
            </w:r>
            <w:r>
              <w:rPr>
                <w:rFonts w:cstheme="minorHAnsi"/>
                <w:b/>
              </w:rPr>
              <w:t>ly</w:t>
            </w:r>
            <w:r w:rsidRPr="00E477A9">
              <w:rPr>
                <w:rFonts w:cstheme="minorHAnsi"/>
                <w:b/>
              </w:rPr>
              <w:t xml:space="preserve"> 2021</w:t>
            </w:r>
          </w:p>
        </w:tc>
        <w:tc>
          <w:tcPr>
            <w:tcW w:w="2358" w:type="dxa"/>
            <w:shd w:val="clear" w:color="auto" w:fill="D9D9D9" w:themeFill="background1" w:themeFillShade="D9"/>
          </w:tcPr>
          <w:p w:rsidR="007148BC" w:rsidRPr="00E477A9" w:rsidP="007451F5">
            <w:pPr>
              <w:jc w:val="center"/>
              <w:rPr>
                <w:rFonts w:cstheme="minorHAnsi"/>
                <w:b/>
              </w:rPr>
            </w:pPr>
            <w:r w:rsidRPr="00E477A9">
              <w:rPr>
                <w:rFonts w:cstheme="minorHAnsi"/>
                <w:b/>
              </w:rPr>
              <w:t>As at 3</w:t>
            </w:r>
            <w:r>
              <w:rPr>
                <w:rFonts w:cstheme="minorHAnsi"/>
                <w:b/>
              </w:rPr>
              <w:t>1</w:t>
            </w:r>
            <w:r w:rsidRPr="00E477A9">
              <w:rPr>
                <w:rFonts w:cstheme="minorHAnsi"/>
                <w:b/>
                <w:vertAlign w:val="superscript"/>
              </w:rPr>
              <w:t>th</w:t>
            </w:r>
            <w:r w:rsidRPr="00E477A9">
              <w:rPr>
                <w:rFonts w:cstheme="minorHAnsi"/>
                <w:b/>
              </w:rPr>
              <w:t xml:space="preserve"> Ju</w:t>
            </w:r>
            <w:r>
              <w:rPr>
                <w:rFonts w:cstheme="minorHAnsi"/>
                <w:b/>
              </w:rPr>
              <w:t>ly</w:t>
            </w:r>
            <w:r w:rsidRPr="00E477A9">
              <w:rPr>
                <w:rFonts w:cstheme="minorHAnsi"/>
                <w:b/>
              </w:rPr>
              <w:t xml:space="preserve"> 2020</w:t>
            </w:r>
          </w:p>
        </w:tc>
      </w:tr>
      <w:tr w:rsidTr="000E34F8">
        <w:tblPrEx>
          <w:tblW w:w="0" w:type="auto"/>
          <w:tblInd w:w="279" w:type="dxa"/>
          <w:tblLook w:val="04A0"/>
        </w:tblPrEx>
        <w:tc>
          <w:tcPr>
            <w:tcW w:w="3827" w:type="dxa"/>
          </w:tcPr>
          <w:p w:rsidR="007148BC" w:rsidP="007451F5">
            <w:pPr>
              <w:jc w:val="both"/>
              <w:rPr>
                <w:rFonts w:cstheme="minorHAnsi"/>
                <w:bCs/>
              </w:rPr>
            </w:pPr>
            <w:r>
              <w:rPr>
                <w:rFonts w:cstheme="minorHAnsi"/>
                <w:bCs/>
              </w:rPr>
              <w:t>Short term borrowing</w:t>
            </w:r>
          </w:p>
        </w:tc>
        <w:tc>
          <w:tcPr>
            <w:tcW w:w="2552" w:type="dxa"/>
          </w:tcPr>
          <w:p w:rsidR="007148BC" w:rsidP="007451F5">
            <w:pPr>
              <w:jc w:val="center"/>
              <w:rPr>
                <w:rFonts w:cstheme="minorHAnsi"/>
                <w:bCs/>
              </w:rPr>
            </w:pPr>
            <w:r>
              <w:rPr>
                <w:rFonts w:cstheme="minorHAnsi"/>
                <w:bCs/>
              </w:rPr>
              <w:t>Nil</w:t>
            </w:r>
          </w:p>
        </w:tc>
        <w:tc>
          <w:tcPr>
            <w:tcW w:w="2358" w:type="dxa"/>
          </w:tcPr>
          <w:p w:rsidR="007148BC" w:rsidP="007451F5">
            <w:pPr>
              <w:jc w:val="center"/>
              <w:rPr>
                <w:rFonts w:cstheme="minorHAnsi"/>
                <w:bCs/>
              </w:rPr>
            </w:pPr>
            <w:r>
              <w:rPr>
                <w:rFonts w:cstheme="minorHAnsi"/>
                <w:bCs/>
              </w:rPr>
              <w:t>Nil</w:t>
            </w:r>
          </w:p>
        </w:tc>
      </w:tr>
      <w:tr w:rsidTr="000E34F8">
        <w:tblPrEx>
          <w:tblW w:w="0" w:type="auto"/>
          <w:tblInd w:w="279" w:type="dxa"/>
          <w:tblLook w:val="04A0"/>
        </w:tblPrEx>
        <w:tc>
          <w:tcPr>
            <w:tcW w:w="3827" w:type="dxa"/>
          </w:tcPr>
          <w:p w:rsidR="007148BC" w:rsidP="007451F5">
            <w:pPr>
              <w:jc w:val="both"/>
              <w:rPr>
                <w:rFonts w:cstheme="minorHAnsi"/>
                <w:bCs/>
              </w:rPr>
            </w:pPr>
            <w:r>
              <w:rPr>
                <w:rFonts w:cstheme="minorHAnsi"/>
                <w:bCs/>
              </w:rPr>
              <w:t>Long term borrowing</w:t>
            </w:r>
          </w:p>
        </w:tc>
        <w:tc>
          <w:tcPr>
            <w:tcW w:w="2552" w:type="dxa"/>
          </w:tcPr>
          <w:p w:rsidR="007148BC" w:rsidP="007451F5">
            <w:pPr>
              <w:jc w:val="center"/>
              <w:rPr>
                <w:rFonts w:cstheme="minorHAnsi"/>
                <w:bCs/>
              </w:rPr>
            </w:pPr>
            <w:r>
              <w:rPr>
                <w:rFonts w:cstheme="minorHAnsi"/>
                <w:bCs/>
              </w:rPr>
              <w:t>Nil</w:t>
            </w:r>
          </w:p>
        </w:tc>
        <w:tc>
          <w:tcPr>
            <w:tcW w:w="2358" w:type="dxa"/>
          </w:tcPr>
          <w:p w:rsidR="007148BC" w:rsidP="007451F5">
            <w:pPr>
              <w:jc w:val="center"/>
              <w:rPr>
                <w:rFonts w:cstheme="minorHAnsi"/>
                <w:bCs/>
              </w:rPr>
            </w:pPr>
            <w:r>
              <w:rPr>
                <w:rFonts w:cstheme="minorHAnsi"/>
                <w:bCs/>
              </w:rPr>
              <w:t>Nil</w:t>
            </w:r>
          </w:p>
        </w:tc>
      </w:tr>
      <w:tr w:rsidTr="000E34F8">
        <w:tblPrEx>
          <w:tblW w:w="0" w:type="auto"/>
          <w:tblInd w:w="279" w:type="dxa"/>
          <w:tblLook w:val="04A0"/>
        </w:tblPrEx>
        <w:tc>
          <w:tcPr>
            <w:tcW w:w="3827" w:type="dxa"/>
          </w:tcPr>
          <w:p w:rsidR="00C949D2" w:rsidP="007451F5">
            <w:pPr>
              <w:jc w:val="both"/>
              <w:rPr>
                <w:rFonts w:cstheme="minorHAnsi"/>
                <w:bCs/>
              </w:rPr>
            </w:pPr>
            <w:r>
              <w:rPr>
                <w:rFonts w:cstheme="minorHAnsi"/>
                <w:bCs/>
              </w:rPr>
              <w:t>Cash Balance</w:t>
            </w:r>
          </w:p>
        </w:tc>
        <w:tc>
          <w:tcPr>
            <w:tcW w:w="2552" w:type="dxa"/>
          </w:tcPr>
          <w:p w:rsidR="00C949D2" w:rsidP="007451F5">
            <w:pPr>
              <w:jc w:val="center"/>
              <w:rPr>
                <w:rFonts w:cstheme="minorHAnsi"/>
                <w:bCs/>
              </w:rPr>
            </w:pPr>
            <w:r>
              <w:rPr>
                <w:rFonts w:cstheme="minorHAnsi"/>
                <w:bCs/>
              </w:rPr>
              <w:t>1</w:t>
            </w:r>
            <w:r w:rsidR="00663B4F">
              <w:rPr>
                <w:rFonts w:cstheme="minorHAnsi"/>
                <w:bCs/>
              </w:rPr>
              <w:t>7</w:t>
            </w:r>
            <w:r>
              <w:rPr>
                <w:rFonts w:cstheme="minorHAnsi"/>
                <w:bCs/>
              </w:rPr>
              <w:t>.</w:t>
            </w:r>
            <w:r w:rsidR="00663B4F">
              <w:rPr>
                <w:rFonts w:cstheme="minorHAnsi"/>
                <w:bCs/>
              </w:rPr>
              <w:t>533</w:t>
            </w:r>
          </w:p>
        </w:tc>
        <w:tc>
          <w:tcPr>
            <w:tcW w:w="2358" w:type="dxa"/>
          </w:tcPr>
          <w:p w:rsidR="00C949D2" w:rsidP="007451F5">
            <w:pPr>
              <w:jc w:val="center"/>
              <w:rPr>
                <w:rFonts w:cstheme="minorHAnsi"/>
                <w:bCs/>
              </w:rPr>
            </w:pPr>
            <w:r>
              <w:rPr>
                <w:rFonts w:cstheme="minorHAnsi"/>
                <w:bCs/>
              </w:rPr>
              <w:t>16.700m</w:t>
            </w:r>
          </w:p>
        </w:tc>
      </w:tr>
      <w:tr w:rsidTr="000E34F8">
        <w:tblPrEx>
          <w:tblW w:w="0" w:type="auto"/>
          <w:tblInd w:w="279" w:type="dxa"/>
          <w:tblLook w:val="04A0"/>
        </w:tblPrEx>
        <w:tc>
          <w:tcPr>
            <w:tcW w:w="3827" w:type="dxa"/>
            <w:shd w:val="clear" w:color="auto" w:fill="D9D9D9" w:themeFill="background1" w:themeFillShade="D9"/>
          </w:tcPr>
          <w:p w:rsidR="007148BC" w:rsidRPr="00E477A9" w:rsidP="007451F5">
            <w:pPr>
              <w:jc w:val="both"/>
              <w:rPr>
                <w:rFonts w:cstheme="minorHAnsi"/>
                <w:b/>
              </w:rPr>
            </w:pPr>
            <w:r w:rsidRPr="00E477A9">
              <w:rPr>
                <w:rFonts w:cstheme="minorHAnsi"/>
                <w:b/>
              </w:rPr>
              <w:t>T</w:t>
            </w:r>
            <w:r>
              <w:rPr>
                <w:rFonts w:cstheme="minorHAnsi"/>
                <w:b/>
              </w:rPr>
              <w:t>otal</w:t>
            </w:r>
            <w:r w:rsidRPr="00E477A9">
              <w:rPr>
                <w:rFonts w:cstheme="minorHAnsi"/>
                <w:b/>
              </w:rPr>
              <w:t xml:space="preserve"> Borrowing</w:t>
            </w:r>
          </w:p>
        </w:tc>
        <w:tc>
          <w:tcPr>
            <w:tcW w:w="2552" w:type="dxa"/>
            <w:shd w:val="clear" w:color="auto" w:fill="D9D9D9" w:themeFill="background1" w:themeFillShade="D9"/>
          </w:tcPr>
          <w:p w:rsidR="007148BC" w:rsidRPr="00E477A9" w:rsidP="007451F5">
            <w:pPr>
              <w:jc w:val="center"/>
              <w:rPr>
                <w:rFonts w:cstheme="minorHAnsi"/>
                <w:b/>
              </w:rPr>
            </w:pPr>
            <w:r>
              <w:rPr>
                <w:rFonts w:cstheme="minorHAnsi"/>
                <w:b/>
              </w:rPr>
              <w:t>Nil</w:t>
            </w:r>
          </w:p>
        </w:tc>
        <w:tc>
          <w:tcPr>
            <w:tcW w:w="2358" w:type="dxa"/>
            <w:shd w:val="clear" w:color="auto" w:fill="D9D9D9" w:themeFill="background1" w:themeFillShade="D9"/>
          </w:tcPr>
          <w:p w:rsidR="007148BC" w:rsidRPr="00E477A9" w:rsidP="007451F5">
            <w:pPr>
              <w:jc w:val="center"/>
              <w:rPr>
                <w:rFonts w:cstheme="minorHAnsi"/>
                <w:b/>
              </w:rPr>
            </w:pPr>
            <w:r>
              <w:rPr>
                <w:rFonts w:cstheme="minorHAnsi"/>
                <w:b/>
              </w:rPr>
              <w:t>Nil</w:t>
            </w:r>
          </w:p>
        </w:tc>
      </w:tr>
      <w:tr w:rsidTr="000E34F8">
        <w:tblPrEx>
          <w:tblW w:w="0" w:type="auto"/>
          <w:tblInd w:w="279" w:type="dxa"/>
          <w:tblLook w:val="04A0"/>
        </w:tblPrEx>
        <w:tc>
          <w:tcPr>
            <w:tcW w:w="3827" w:type="dxa"/>
          </w:tcPr>
          <w:p w:rsidR="007148BC" w:rsidP="007451F5">
            <w:pPr>
              <w:jc w:val="both"/>
              <w:rPr>
                <w:rFonts w:cstheme="minorHAnsi"/>
                <w:bCs/>
              </w:rPr>
            </w:pPr>
            <w:r>
              <w:rPr>
                <w:rFonts w:cstheme="minorHAnsi"/>
                <w:bCs/>
              </w:rPr>
              <w:t>Investments made by the Council</w:t>
            </w:r>
          </w:p>
        </w:tc>
        <w:tc>
          <w:tcPr>
            <w:tcW w:w="2552" w:type="dxa"/>
          </w:tcPr>
          <w:p w:rsidR="007148BC" w:rsidP="007451F5">
            <w:pPr>
              <w:jc w:val="center"/>
              <w:rPr>
                <w:rFonts w:cstheme="minorHAnsi"/>
                <w:bCs/>
              </w:rPr>
            </w:pPr>
            <w:r>
              <w:rPr>
                <w:rFonts w:cstheme="minorHAnsi"/>
                <w:bCs/>
              </w:rPr>
              <w:t>£30m</w:t>
            </w:r>
          </w:p>
        </w:tc>
        <w:tc>
          <w:tcPr>
            <w:tcW w:w="2358" w:type="dxa"/>
          </w:tcPr>
          <w:p w:rsidR="007148BC" w:rsidP="007451F5">
            <w:pPr>
              <w:jc w:val="center"/>
              <w:rPr>
                <w:rFonts w:cstheme="minorHAnsi"/>
                <w:bCs/>
              </w:rPr>
            </w:pPr>
            <w:r>
              <w:rPr>
                <w:rFonts w:cstheme="minorHAnsi"/>
                <w:bCs/>
              </w:rPr>
              <w:t>£32m</w:t>
            </w:r>
          </w:p>
        </w:tc>
      </w:tr>
    </w:tbl>
    <w:p w:rsidR="007148BC" w:rsidP="00E24AE3">
      <w:pPr>
        <w:spacing w:after="0" w:line="240" w:lineRule="auto"/>
        <w:jc w:val="both"/>
        <w:rPr>
          <w:rFonts w:cstheme="minorHAnsi"/>
          <w:bCs/>
          <w:iCs/>
        </w:rPr>
      </w:pPr>
    </w:p>
    <w:p w:rsidR="007148BC" w:rsidP="00E24AE3">
      <w:pPr>
        <w:spacing w:after="0" w:line="240" w:lineRule="auto"/>
        <w:jc w:val="both"/>
        <w:rPr>
          <w:rFonts w:cstheme="minorHAnsi"/>
          <w:bCs/>
          <w:iCs/>
        </w:rPr>
      </w:pPr>
    </w:p>
    <w:p w:rsidR="00D30E15" w:rsidRPr="00D30E15" w:rsidP="00D30E15">
      <w:pPr>
        <w:pStyle w:val="Heading2"/>
      </w:pPr>
      <w:r>
        <w:t>Debtors</w:t>
      </w:r>
    </w:p>
    <w:p w:rsidR="003979B1" w:rsidRPr="008547B3" w:rsidP="003979B1">
      <w:pPr>
        <w:numPr>
          <w:ilvl w:val="0"/>
          <w:numId w:val="8"/>
        </w:numPr>
        <w:spacing w:after="0" w:line="240" w:lineRule="auto"/>
        <w:jc w:val="both"/>
        <w:rPr>
          <w:rFonts w:cstheme="minorHAnsi"/>
          <w:bCs/>
          <w:iCs/>
        </w:rPr>
      </w:pPr>
      <w:r w:rsidRPr="003979B1">
        <w:rPr>
          <w:rFonts w:cstheme="minorHAnsi"/>
          <w:bCs/>
        </w:rPr>
        <w:t>The council has a corporate debt policy, as well as other specific policies for the management of debt in the key areas of council tax, business rates, and housing benefit overpayments. The table below summarises the collection performance of the various debts, and the total outstanding debt in the respective areas at 31</w:t>
      </w:r>
      <w:r w:rsidRPr="003979B1">
        <w:rPr>
          <w:rFonts w:cstheme="minorHAnsi"/>
          <w:bCs/>
          <w:vertAlign w:val="superscript"/>
        </w:rPr>
        <w:t>st</w:t>
      </w:r>
      <w:r w:rsidRPr="003979B1">
        <w:rPr>
          <w:rFonts w:cstheme="minorHAnsi"/>
          <w:bCs/>
        </w:rPr>
        <w:t xml:space="preserve"> July 2021.  The figures for the same point in time in the last financial year are not available and so for the purposes of comparison, the corresponding level of debt at 31</w:t>
      </w:r>
      <w:r w:rsidRPr="003979B1">
        <w:rPr>
          <w:rFonts w:cstheme="minorHAnsi"/>
          <w:bCs/>
          <w:vertAlign w:val="superscript"/>
        </w:rPr>
        <w:t>st</w:t>
      </w:r>
      <w:r w:rsidRPr="003979B1">
        <w:rPr>
          <w:rFonts w:cstheme="minorHAnsi"/>
          <w:bCs/>
        </w:rPr>
        <w:t xml:space="preserve"> March 2021 is shown</w:t>
      </w:r>
      <w:r>
        <w:rPr>
          <w:rFonts w:cstheme="minorHAnsi"/>
          <w:bCs/>
        </w:rPr>
        <w:t>.</w:t>
      </w:r>
    </w:p>
    <w:p w:rsidR="008547B3" w:rsidRPr="003979B1" w:rsidP="008547B3">
      <w:pPr>
        <w:spacing w:after="0" w:line="240" w:lineRule="auto"/>
        <w:ind w:left="360"/>
        <w:jc w:val="both"/>
        <w:rPr>
          <w:rFonts w:cstheme="minorHAnsi"/>
          <w:bCs/>
          <w:iCs/>
        </w:rPr>
      </w:pPr>
    </w:p>
    <w:tbl>
      <w:tblPr>
        <w:tblStyle w:val="TableGrid"/>
        <w:tblW w:w="9634" w:type="dxa"/>
        <w:tblLook w:val="04A0"/>
      </w:tblPr>
      <w:tblGrid>
        <w:gridCol w:w="4673"/>
        <w:gridCol w:w="2480"/>
        <w:gridCol w:w="2481"/>
      </w:tblGrid>
      <w:tr w:rsidTr="00217542">
        <w:tblPrEx>
          <w:tblW w:w="9634" w:type="dxa"/>
          <w:tblLook w:val="04A0"/>
        </w:tblPrEx>
        <w:trPr>
          <w:tblHeader/>
        </w:trPr>
        <w:tc>
          <w:tcPr>
            <w:tcW w:w="4673" w:type="dxa"/>
            <w:shd w:val="clear" w:color="auto" w:fill="D9D9D9" w:themeFill="background1" w:themeFillShade="D9"/>
          </w:tcPr>
          <w:p w:rsidR="007148BC" w:rsidRPr="00D56230" w:rsidP="007451F5">
            <w:pPr>
              <w:jc w:val="both"/>
              <w:rPr>
                <w:rFonts w:cstheme="minorHAnsi"/>
                <w:b/>
              </w:rPr>
            </w:pPr>
            <w:bookmarkStart w:id="3" w:name="_Hlk78974821"/>
          </w:p>
        </w:tc>
        <w:tc>
          <w:tcPr>
            <w:tcW w:w="2480" w:type="dxa"/>
            <w:shd w:val="clear" w:color="auto" w:fill="D9D9D9" w:themeFill="background1" w:themeFillShade="D9"/>
          </w:tcPr>
          <w:p w:rsidR="0058054F" w:rsidP="007451F5">
            <w:pPr>
              <w:jc w:val="center"/>
              <w:rPr>
                <w:rFonts w:cstheme="minorHAnsi"/>
                <w:b/>
              </w:rPr>
            </w:pPr>
            <w:r w:rsidRPr="00D56230">
              <w:rPr>
                <w:rFonts w:cstheme="minorHAnsi"/>
                <w:b/>
              </w:rPr>
              <w:t>Position as at</w:t>
            </w:r>
          </w:p>
          <w:p w:rsidR="007148BC" w:rsidP="007451F5">
            <w:pPr>
              <w:jc w:val="center"/>
              <w:rPr>
                <w:rFonts w:cstheme="minorHAnsi"/>
                <w:b/>
              </w:rPr>
            </w:pPr>
            <w:r w:rsidRPr="00D56230">
              <w:rPr>
                <w:rFonts w:cstheme="minorHAnsi"/>
                <w:b/>
              </w:rPr>
              <w:t>3</w:t>
            </w:r>
            <w:r>
              <w:rPr>
                <w:rFonts w:cstheme="minorHAnsi"/>
                <w:b/>
              </w:rPr>
              <w:t>1</w:t>
            </w:r>
            <w:r w:rsidRPr="0058054F">
              <w:rPr>
                <w:rFonts w:cstheme="minorHAnsi"/>
                <w:b/>
                <w:vertAlign w:val="superscript"/>
              </w:rPr>
              <w:t>st</w:t>
            </w:r>
            <w:r>
              <w:rPr>
                <w:rFonts w:cstheme="minorHAnsi"/>
                <w:b/>
              </w:rPr>
              <w:t xml:space="preserve"> </w:t>
            </w:r>
            <w:r w:rsidRPr="00D56230">
              <w:rPr>
                <w:rFonts w:cstheme="minorHAnsi"/>
                <w:b/>
              </w:rPr>
              <w:t>Ju</w:t>
            </w:r>
            <w:r>
              <w:rPr>
                <w:rFonts w:cstheme="minorHAnsi"/>
                <w:b/>
              </w:rPr>
              <w:t>ly</w:t>
            </w:r>
            <w:r w:rsidRPr="00D56230">
              <w:rPr>
                <w:rFonts w:cstheme="minorHAnsi"/>
                <w:b/>
              </w:rPr>
              <w:t xml:space="preserve"> 2021</w:t>
            </w:r>
          </w:p>
          <w:p w:rsidR="0058054F" w:rsidRPr="00D56230" w:rsidP="007451F5">
            <w:pPr>
              <w:jc w:val="center"/>
              <w:rPr>
                <w:rFonts w:cstheme="minorHAnsi"/>
                <w:b/>
              </w:rPr>
            </w:pPr>
            <w:r>
              <w:rPr>
                <w:rFonts w:cstheme="minorHAnsi"/>
                <w:b/>
              </w:rPr>
              <w:t>£’000</w:t>
            </w:r>
          </w:p>
        </w:tc>
        <w:tc>
          <w:tcPr>
            <w:tcW w:w="2481" w:type="dxa"/>
            <w:shd w:val="clear" w:color="auto" w:fill="D9D9D9" w:themeFill="background1" w:themeFillShade="D9"/>
          </w:tcPr>
          <w:p w:rsidR="0058054F" w:rsidP="007451F5">
            <w:pPr>
              <w:jc w:val="center"/>
              <w:rPr>
                <w:rFonts w:cstheme="minorHAnsi"/>
                <w:b/>
              </w:rPr>
            </w:pPr>
            <w:r w:rsidRPr="00D56230">
              <w:rPr>
                <w:rFonts w:cstheme="minorHAnsi"/>
                <w:b/>
              </w:rPr>
              <w:t>Position as at</w:t>
            </w:r>
          </w:p>
          <w:p w:rsidR="007148BC" w:rsidP="007451F5">
            <w:pPr>
              <w:jc w:val="center"/>
              <w:rPr>
                <w:rFonts w:cstheme="minorHAnsi"/>
                <w:b/>
              </w:rPr>
            </w:pPr>
            <w:r w:rsidRPr="00430C19">
              <w:rPr>
                <w:rFonts w:cstheme="minorHAnsi"/>
                <w:b/>
              </w:rPr>
              <w:t>31</w:t>
            </w:r>
            <w:r w:rsidRPr="00430C19">
              <w:rPr>
                <w:rFonts w:cstheme="minorHAnsi"/>
                <w:b/>
                <w:vertAlign w:val="superscript"/>
              </w:rPr>
              <w:t>st</w:t>
            </w:r>
            <w:r w:rsidRPr="00430C19">
              <w:rPr>
                <w:rFonts w:cstheme="minorHAnsi"/>
                <w:b/>
              </w:rPr>
              <w:t xml:space="preserve"> March 2021</w:t>
            </w:r>
          </w:p>
          <w:p w:rsidR="0058054F" w:rsidRPr="00D56230" w:rsidP="007451F5">
            <w:pPr>
              <w:jc w:val="center"/>
              <w:rPr>
                <w:rFonts w:cstheme="minorHAnsi"/>
                <w:b/>
              </w:rPr>
            </w:pPr>
            <w:r>
              <w:rPr>
                <w:rFonts w:cstheme="minorHAnsi"/>
                <w:b/>
              </w:rPr>
              <w:t>£’000</w:t>
            </w:r>
          </w:p>
        </w:tc>
      </w:tr>
      <w:tr w:rsidTr="00217542">
        <w:tblPrEx>
          <w:tblW w:w="9634" w:type="dxa"/>
          <w:tblLook w:val="04A0"/>
        </w:tblPrEx>
        <w:tc>
          <w:tcPr>
            <w:tcW w:w="4673" w:type="dxa"/>
            <w:shd w:val="clear" w:color="auto" w:fill="D9D9D9" w:themeFill="background1" w:themeFillShade="D9"/>
          </w:tcPr>
          <w:p w:rsidR="00CC698E" w:rsidRPr="00E477A9" w:rsidP="00CC698E">
            <w:pPr>
              <w:jc w:val="both"/>
              <w:rPr>
                <w:rFonts w:cstheme="minorHAnsi"/>
                <w:b/>
              </w:rPr>
            </w:pPr>
            <w:bookmarkEnd w:id="3"/>
            <w:r w:rsidRPr="00E477A9">
              <w:rPr>
                <w:rFonts w:cstheme="minorHAnsi"/>
                <w:b/>
              </w:rPr>
              <w:t>Council Tax</w:t>
            </w:r>
          </w:p>
        </w:tc>
        <w:tc>
          <w:tcPr>
            <w:tcW w:w="2480" w:type="dxa"/>
            <w:shd w:val="clear" w:color="auto" w:fill="D9D9D9" w:themeFill="background1" w:themeFillShade="D9"/>
          </w:tcPr>
          <w:p w:rsidR="00CC698E" w:rsidRPr="00E477A9" w:rsidP="00CC698E">
            <w:pPr>
              <w:jc w:val="center"/>
              <w:rPr>
                <w:rFonts w:cstheme="minorHAnsi"/>
                <w:b/>
              </w:rPr>
            </w:pPr>
          </w:p>
        </w:tc>
        <w:tc>
          <w:tcPr>
            <w:tcW w:w="2481" w:type="dxa"/>
            <w:shd w:val="clear" w:color="auto" w:fill="D9D9D9" w:themeFill="background1" w:themeFillShade="D9"/>
          </w:tcPr>
          <w:p w:rsidR="00CC698E" w:rsidRPr="00E477A9" w:rsidP="00CC698E">
            <w:pPr>
              <w:jc w:val="center"/>
              <w:rPr>
                <w:rFonts w:cstheme="minorHAnsi"/>
                <w:b/>
              </w:rPr>
            </w:pPr>
          </w:p>
        </w:tc>
      </w:tr>
      <w:tr w:rsidTr="00217542">
        <w:tblPrEx>
          <w:tblW w:w="9634" w:type="dxa"/>
          <w:tblLook w:val="04A0"/>
        </w:tblPrEx>
        <w:tc>
          <w:tcPr>
            <w:tcW w:w="4673" w:type="dxa"/>
          </w:tcPr>
          <w:p w:rsidR="00CC698E" w:rsidP="00CC698E">
            <w:pPr>
              <w:jc w:val="both"/>
              <w:rPr>
                <w:rFonts w:cstheme="minorHAnsi"/>
                <w:bCs/>
              </w:rPr>
            </w:pPr>
            <w:r>
              <w:rPr>
                <w:rFonts w:cstheme="minorHAnsi"/>
                <w:bCs/>
              </w:rPr>
              <w:t xml:space="preserve">Expected Council Tax </w:t>
            </w:r>
            <w:r w:rsidR="00677351">
              <w:rPr>
                <w:rFonts w:cstheme="minorHAnsi"/>
                <w:bCs/>
              </w:rPr>
              <w:t>21/22</w:t>
            </w:r>
          </w:p>
        </w:tc>
        <w:tc>
          <w:tcPr>
            <w:tcW w:w="2480" w:type="dxa"/>
          </w:tcPr>
          <w:p w:rsidR="00CC698E" w:rsidP="00CC698E">
            <w:pPr>
              <w:jc w:val="center"/>
              <w:rPr>
                <w:rFonts w:cstheme="minorHAnsi"/>
                <w:bCs/>
              </w:rPr>
            </w:pPr>
            <w:r>
              <w:rPr>
                <w:rFonts w:cstheme="minorHAnsi"/>
                <w:bCs/>
              </w:rPr>
              <w:t>73,798</w:t>
            </w:r>
          </w:p>
        </w:tc>
        <w:tc>
          <w:tcPr>
            <w:tcW w:w="2481" w:type="dxa"/>
          </w:tcPr>
          <w:p w:rsidR="00CC698E" w:rsidRPr="00430C19" w:rsidP="00CC698E">
            <w:pPr>
              <w:jc w:val="center"/>
              <w:rPr>
                <w:rFonts w:cstheme="minorHAnsi"/>
                <w:bCs/>
              </w:rPr>
            </w:pPr>
            <w:r>
              <w:rPr>
                <w:rFonts w:cstheme="minorHAnsi"/>
                <w:bCs/>
              </w:rPr>
              <w:t>69,675</w:t>
            </w:r>
          </w:p>
        </w:tc>
      </w:tr>
      <w:tr w:rsidTr="00217542">
        <w:tblPrEx>
          <w:tblW w:w="9634" w:type="dxa"/>
          <w:tblLook w:val="04A0"/>
        </w:tblPrEx>
        <w:tc>
          <w:tcPr>
            <w:tcW w:w="4673" w:type="dxa"/>
          </w:tcPr>
          <w:p w:rsidR="00CC698E" w:rsidP="00CC698E">
            <w:pPr>
              <w:jc w:val="both"/>
              <w:rPr>
                <w:rFonts w:cstheme="minorHAnsi"/>
                <w:bCs/>
              </w:rPr>
            </w:pPr>
            <w:r>
              <w:rPr>
                <w:rFonts w:cstheme="minorHAnsi"/>
                <w:bCs/>
              </w:rPr>
              <w:t>Current year balance outstanding</w:t>
            </w:r>
          </w:p>
        </w:tc>
        <w:tc>
          <w:tcPr>
            <w:tcW w:w="2480" w:type="dxa"/>
          </w:tcPr>
          <w:p w:rsidR="00CC698E" w:rsidP="00CC698E">
            <w:pPr>
              <w:jc w:val="center"/>
              <w:rPr>
                <w:rFonts w:cstheme="minorHAnsi"/>
                <w:bCs/>
              </w:rPr>
            </w:pPr>
            <w:r>
              <w:rPr>
                <w:rFonts w:cstheme="minorHAnsi"/>
                <w:bCs/>
              </w:rPr>
              <w:t>43,151</w:t>
            </w:r>
          </w:p>
        </w:tc>
        <w:tc>
          <w:tcPr>
            <w:tcW w:w="2481" w:type="dxa"/>
          </w:tcPr>
          <w:p w:rsidR="00CC698E" w:rsidRPr="00430C19" w:rsidP="00CC698E">
            <w:pPr>
              <w:jc w:val="center"/>
              <w:rPr>
                <w:rFonts w:cstheme="minorHAnsi"/>
                <w:bCs/>
              </w:rPr>
            </w:pPr>
            <w:r>
              <w:rPr>
                <w:rFonts w:cstheme="minorHAnsi"/>
                <w:bCs/>
              </w:rPr>
              <w:t>2,149</w:t>
            </w:r>
          </w:p>
        </w:tc>
      </w:tr>
      <w:tr w:rsidTr="00217542">
        <w:tblPrEx>
          <w:tblW w:w="9634" w:type="dxa"/>
          <w:tblLook w:val="04A0"/>
        </w:tblPrEx>
        <w:tc>
          <w:tcPr>
            <w:tcW w:w="4673" w:type="dxa"/>
          </w:tcPr>
          <w:p w:rsidR="00CC698E" w:rsidP="00CC698E">
            <w:pPr>
              <w:jc w:val="both"/>
              <w:rPr>
                <w:rFonts w:cstheme="minorHAnsi"/>
                <w:bCs/>
              </w:rPr>
            </w:pPr>
            <w:r>
              <w:rPr>
                <w:rFonts w:cstheme="minorHAnsi"/>
                <w:bCs/>
              </w:rPr>
              <w:t>Previous years balance outstanding</w:t>
            </w:r>
          </w:p>
        </w:tc>
        <w:tc>
          <w:tcPr>
            <w:tcW w:w="2480" w:type="dxa"/>
          </w:tcPr>
          <w:p w:rsidR="00CC698E" w:rsidP="00CC698E">
            <w:pPr>
              <w:jc w:val="center"/>
              <w:rPr>
                <w:rFonts w:cstheme="minorHAnsi"/>
                <w:bCs/>
              </w:rPr>
            </w:pPr>
            <w:r>
              <w:rPr>
                <w:rFonts w:cstheme="minorHAnsi"/>
                <w:bCs/>
              </w:rPr>
              <w:t>4,930</w:t>
            </w:r>
          </w:p>
        </w:tc>
        <w:tc>
          <w:tcPr>
            <w:tcW w:w="2481" w:type="dxa"/>
          </w:tcPr>
          <w:p w:rsidR="00CC698E" w:rsidRPr="00430C19" w:rsidP="00CC698E">
            <w:pPr>
              <w:jc w:val="center"/>
              <w:rPr>
                <w:rFonts w:cstheme="minorHAnsi"/>
                <w:bCs/>
              </w:rPr>
            </w:pPr>
            <w:r>
              <w:rPr>
                <w:rFonts w:cstheme="minorHAnsi"/>
                <w:bCs/>
              </w:rPr>
              <w:t>3,266</w:t>
            </w:r>
          </w:p>
        </w:tc>
      </w:tr>
      <w:tr w:rsidTr="00217542">
        <w:tblPrEx>
          <w:tblW w:w="9634" w:type="dxa"/>
          <w:tblLook w:val="04A0"/>
        </w:tblPrEx>
        <w:tc>
          <w:tcPr>
            <w:tcW w:w="4673" w:type="dxa"/>
          </w:tcPr>
          <w:p w:rsidR="00CC698E" w:rsidRPr="00D56230" w:rsidP="00CC698E">
            <w:pPr>
              <w:jc w:val="both"/>
              <w:rPr>
                <w:rFonts w:cstheme="minorHAnsi"/>
                <w:b/>
              </w:rPr>
            </w:pPr>
            <w:r w:rsidRPr="00D56230">
              <w:rPr>
                <w:rFonts w:cstheme="minorHAnsi"/>
                <w:b/>
              </w:rPr>
              <w:t>Total Council Tax balance</w:t>
            </w:r>
            <w:r>
              <w:rPr>
                <w:rFonts w:cstheme="minorHAnsi"/>
                <w:b/>
              </w:rPr>
              <w:t xml:space="preserve"> outstanding</w:t>
            </w:r>
          </w:p>
        </w:tc>
        <w:tc>
          <w:tcPr>
            <w:tcW w:w="2480" w:type="dxa"/>
          </w:tcPr>
          <w:p w:rsidR="00CC698E" w:rsidRPr="00D56230" w:rsidP="00CC698E">
            <w:pPr>
              <w:jc w:val="center"/>
              <w:rPr>
                <w:rFonts w:cstheme="minorHAnsi"/>
                <w:b/>
              </w:rPr>
            </w:pPr>
            <w:r>
              <w:rPr>
                <w:rFonts w:cstheme="minorHAnsi"/>
                <w:b/>
              </w:rPr>
              <w:t>48,082</w:t>
            </w:r>
          </w:p>
        </w:tc>
        <w:tc>
          <w:tcPr>
            <w:tcW w:w="2481" w:type="dxa"/>
          </w:tcPr>
          <w:p w:rsidR="00CC698E" w:rsidRPr="00430C19" w:rsidP="00CC698E">
            <w:pPr>
              <w:jc w:val="center"/>
              <w:rPr>
                <w:rFonts w:cstheme="minorHAnsi"/>
                <w:b/>
              </w:rPr>
            </w:pPr>
            <w:r>
              <w:rPr>
                <w:rFonts w:cstheme="minorHAnsi"/>
                <w:b/>
              </w:rPr>
              <w:t>5,415</w:t>
            </w:r>
          </w:p>
        </w:tc>
      </w:tr>
      <w:tr w:rsidTr="00217542">
        <w:tblPrEx>
          <w:tblW w:w="9634" w:type="dxa"/>
          <w:tblLook w:val="04A0"/>
        </w:tblPrEx>
        <w:tc>
          <w:tcPr>
            <w:tcW w:w="4673" w:type="dxa"/>
          </w:tcPr>
          <w:p w:rsidR="00CC698E" w:rsidP="00CC698E">
            <w:pPr>
              <w:jc w:val="both"/>
              <w:rPr>
                <w:rFonts w:cstheme="minorHAnsi"/>
                <w:bCs/>
              </w:rPr>
            </w:pPr>
            <w:r>
              <w:rPr>
                <w:rFonts w:cstheme="minorHAnsi"/>
                <w:bCs/>
              </w:rPr>
              <w:t>Collection Rates</w:t>
            </w:r>
          </w:p>
        </w:tc>
        <w:tc>
          <w:tcPr>
            <w:tcW w:w="2480" w:type="dxa"/>
          </w:tcPr>
          <w:p w:rsidR="00CC698E" w:rsidP="00CC698E">
            <w:pPr>
              <w:jc w:val="center"/>
              <w:rPr>
                <w:rFonts w:cstheme="minorHAnsi"/>
                <w:bCs/>
              </w:rPr>
            </w:pPr>
            <w:r>
              <w:rPr>
                <w:rFonts w:cstheme="minorHAnsi"/>
                <w:bCs/>
              </w:rPr>
              <w:t>38.05%</w:t>
            </w:r>
          </w:p>
        </w:tc>
        <w:tc>
          <w:tcPr>
            <w:tcW w:w="2481" w:type="dxa"/>
          </w:tcPr>
          <w:p w:rsidR="00CC698E" w:rsidRPr="00430C19" w:rsidP="00CC698E">
            <w:pPr>
              <w:jc w:val="center"/>
              <w:rPr>
                <w:rFonts w:cstheme="minorHAnsi"/>
                <w:bCs/>
              </w:rPr>
            </w:pPr>
            <w:r>
              <w:rPr>
                <w:rFonts w:cstheme="minorHAnsi"/>
                <w:bCs/>
              </w:rPr>
              <w:t>96.80%</w:t>
            </w:r>
          </w:p>
        </w:tc>
      </w:tr>
      <w:tr w:rsidTr="00217542">
        <w:tblPrEx>
          <w:tblW w:w="9634" w:type="dxa"/>
          <w:tblLook w:val="04A0"/>
        </w:tblPrEx>
        <w:tc>
          <w:tcPr>
            <w:tcW w:w="4673" w:type="dxa"/>
            <w:shd w:val="clear" w:color="auto" w:fill="D9D9D9" w:themeFill="background1" w:themeFillShade="D9"/>
          </w:tcPr>
          <w:p w:rsidR="00CC698E" w:rsidRPr="00E477A9" w:rsidP="00CC698E">
            <w:pPr>
              <w:jc w:val="both"/>
              <w:rPr>
                <w:rFonts w:cstheme="minorHAnsi"/>
                <w:b/>
              </w:rPr>
            </w:pPr>
            <w:r w:rsidRPr="00E477A9">
              <w:rPr>
                <w:rFonts w:cstheme="minorHAnsi"/>
                <w:b/>
              </w:rPr>
              <w:t>Business Rates</w:t>
            </w:r>
          </w:p>
        </w:tc>
        <w:tc>
          <w:tcPr>
            <w:tcW w:w="2480" w:type="dxa"/>
            <w:shd w:val="clear" w:color="auto" w:fill="D9D9D9" w:themeFill="background1" w:themeFillShade="D9"/>
          </w:tcPr>
          <w:p w:rsidR="00CC698E" w:rsidRPr="00E477A9" w:rsidP="00CC698E">
            <w:pPr>
              <w:jc w:val="center"/>
              <w:rPr>
                <w:rFonts w:cstheme="minorHAnsi"/>
                <w:b/>
              </w:rPr>
            </w:pPr>
          </w:p>
        </w:tc>
        <w:tc>
          <w:tcPr>
            <w:tcW w:w="2481" w:type="dxa"/>
            <w:shd w:val="clear" w:color="auto" w:fill="D9D9D9" w:themeFill="background1" w:themeFillShade="D9"/>
          </w:tcPr>
          <w:p w:rsidR="00CC698E" w:rsidRPr="00430C19" w:rsidP="00CC698E">
            <w:pPr>
              <w:jc w:val="center"/>
              <w:rPr>
                <w:rFonts w:cstheme="minorHAnsi"/>
                <w:b/>
              </w:rPr>
            </w:pPr>
          </w:p>
        </w:tc>
      </w:tr>
      <w:tr w:rsidTr="00217542">
        <w:tblPrEx>
          <w:tblW w:w="9634" w:type="dxa"/>
          <w:tblLook w:val="04A0"/>
        </w:tblPrEx>
        <w:tc>
          <w:tcPr>
            <w:tcW w:w="4673" w:type="dxa"/>
          </w:tcPr>
          <w:p w:rsidR="00CC698E" w:rsidP="00CC698E">
            <w:pPr>
              <w:jc w:val="both"/>
              <w:rPr>
                <w:rFonts w:cstheme="minorHAnsi"/>
                <w:bCs/>
              </w:rPr>
            </w:pPr>
            <w:r>
              <w:rPr>
                <w:rFonts w:cstheme="minorHAnsi"/>
                <w:bCs/>
              </w:rPr>
              <w:t>Expected Business Rates 21/22</w:t>
            </w:r>
          </w:p>
        </w:tc>
        <w:tc>
          <w:tcPr>
            <w:tcW w:w="2480" w:type="dxa"/>
          </w:tcPr>
          <w:p w:rsidR="00CC698E" w:rsidP="00CC698E">
            <w:pPr>
              <w:jc w:val="center"/>
              <w:rPr>
                <w:rFonts w:cstheme="minorHAnsi"/>
                <w:bCs/>
              </w:rPr>
            </w:pPr>
            <w:r>
              <w:rPr>
                <w:rFonts w:cstheme="minorHAnsi"/>
                <w:bCs/>
              </w:rPr>
              <w:t>31,374</w:t>
            </w:r>
          </w:p>
        </w:tc>
        <w:tc>
          <w:tcPr>
            <w:tcW w:w="2481" w:type="dxa"/>
          </w:tcPr>
          <w:p w:rsidR="00CC698E" w:rsidRPr="00430C19" w:rsidP="00CC698E">
            <w:pPr>
              <w:jc w:val="center"/>
              <w:rPr>
                <w:rFonts w:cstheme="minorHAnsi"/>
                <w:bCs/>
              </w:rPr>
            </w:pPr>
            <w:r>
              <w:rPr>
                <w:rFonts w:cstheme="minorHAnsi"/>
                <w:bCs/>
              </w:rPr>
              <w:t>24,821</w:t>
            </w:r>
          </w:p>
        </w:tc>
      </w:tr>
      <w:tr w:rsidTr="00217542">
        <w:tblPrEx>
          <w:tblW w:w="9634" w:type="dxa"/>
          <w:tblLook w:val="04A0"/>
        </w:tblPrEx>
        <w:tc>
          <w:tcPr>
            <w:tcW w:w="4673" w:type="dxa"/>
          </w:tcPr>
          <w:p w:rsidR="00CC698E" w:rsidP="00CC698E">
            <w:pPr>
              <w:jc w:val="both"/>
              <w:rPr>
                <w:rFonts w:cstheme="minorHAnsi"/>
                <w:bCs/>
              </w:rPr>
            </w:pPr>
            <w:r>
              <w:rPr>
                <w:rFonts w:cstheme="minorHAnsi"/>
                <w:bCs/>
              </w:rPr>
              <w:t>Current year balance outstanding</w:t>
            </w:r>
          </w:p>
        </w:tc>
        <w:tc>
          <w:tcPr>
            <w:tcW w:w="2480" w:type="dxa"/>
          </w:tcPr>
          <w:p w:rsidR="00CC698E" w:rsidP="00CC698E">
            <w:pPr>
              <w:jc w:val="center"/>
              <w:rPr>
                <w:rFonts w:cstheme="minorHAnsi"/>
                <w:bCs/>
              </w:rPr>
            </w:pPr>
            <w:r>
              <w:rPr>
                <w:rFonts w:cstheme="minorHAnsi"/>
                <w:bCs/>
              </w:rPr>
              <w:t>19,692</w:t>
            </w:r>
          </w:p>
        </w:tc>
        <w:tc>
          <w:tcPr>
            <w:tcW w:w="2481" w:type="dxa"/>
          </w:tcPr>
          <w:p w:rsidR="00CC698E" w:rsidRPr="00430C19" w:rsidP="00CC698E">
            <w:pPr>
              <w:jc w:val="center"/>
              <w:rPr>
                <w:rFonts w:cstheme="minorHAnsi"/>
                <w:bCs/>
              </w:rPr>
            </w:pPr>
            <w:r>
              <w:rPr>
                <w:rFonts w:cstheme="minorHAnsi"/>
                <w:bCs/>
              </w:rPr>
              <w:t>1,285</w:t>
            </w:r>
          </w:p>
        </w:tc>
      </w:tr>
      <w:tr w:rsidTr="00217542">
        <w:tblPrEx>
          <w:tblW w:w="9634" w:type="dxa"/>
          <w:tblLook w:val="04A0"/>
        </w:tblPrEx>
        <w:tc>
          <w:tcPr>
            <w:tcW w:w="4673" w:type="dxa"/>
          </w:tcPr>
          <w:p w:rsidR="00CC698E" w:rsidP="00CC698E">
            <w:pPr>
              <w:jc w:val="both"/>
              <w:rPr>
                <w:rFonts w:cstheme="minorHAnsi"/>
                <w:bCs/>
              </w:rPr>
            </w:pPr>
            <w:r>
              <w:rPr>
                <w:rFonts w:cstheme="minorHAnsi"/>
                <w:bCs/>
              </w:rPr>
              <w:t>Previous year balance outstanding</w:t>
            </w:r>
          </w:p>
        </w:tc>
        <w:tc>
          <w:tcPr>
            <w:tcW w:w="2480" w:type="dxa"/>
          </w:tcPr>
          <w:p w:rsidR="00CC698E" w:rsidP="00CC698E">
            <w:pPr>
              <w:jc w:val="center"/>
              <w:rPr>
                <w:rFonts w:cstheme="minorHAnsi"/>
                <w:bCs/>
              </w:rPr>
            </w:pPr>
            <w:r>
              <w:rPr>
                <w:rFonts w:cstheme="minorHAnsi"/>
                <w:bCs/>
              </w:rPr>
              <w:t>1,830</w:t>
            </w:r>
          </w:p>
        </w:tc>
        <w:tc>
          <w:tcPr>
            <w:tcW w:w="2481" w:type="dxa"/>
          </w:tcPr>
          <w:p w:rsidR="00CC698E" w:rsidP="00CC698E">
            <w:pPr>
              <w:jc w:val="center"/>
              <w:rPr>
                <w:rFonts w:cstheme="minorHAnsi"/>
                <w:bCs/>
              </w:rPr>
            </w:pPr>
            <w:r>
              <w:rPr>
                <w:rFonts w:cstheme="minorHAnsi"/>
                <w:bCs/>
              </w:rPr>
              <w:t>744</w:t>
            </w:r>
          </w:p>
        </w:tc>
      </w:tr>
      <w:tr w:rsidTr="00217542">
        <w:tblPrEx>
          <w:tblW w:w="9634" w:type="dxa"/>
          <w:tblLook w:val="04A0"/>
        </w:tblPrEx>
        <w:tc>
          <w:tcPr>
            <w:tcW w:w="4673" w:type="dxa"/>
          </w:tcPr>
          <w:p w:rsidR="00CC698E" w:rsidRPr="00D56230" w:rsidP="00CC698E">
            <w:pPr>
              <w:jc w:val="both"/>
              <w:rPr>
                <w:rFonts w:cstheme="minorHAnsi"/>
                <w:b/>
              </w:rPr>
            </w:pPr>
            <w:r w:rsidRPr="00D56230">
              <w:rPr>
                <w:rFonts w:cstheme="minorHAnsi"/>
                <w:b/>
              </w:rPr>
              <w:t xml:space="preserve">Total </w:t>
            </w:r>
            <w:r>
              <w:rPr>
                <w:rFonts w:cstheme="minorHAnsi"/>
                <w:b/>
              </w:rPr>
              <w:t xml:space="preserve">Business Rates </w:t>
            </w:r>
            <w:r w:rsidRPr="00D56230">
              <w:rPr>
                <w:rFonts w:cstheme="minorHAnsi"/>
                <w:b/>
              </w:rPr>
              <w:t>balance</w:t>
            </w:r>
            <w:r>
              <w:rPr>
                <w:rFonts w:cstheme="minorHAnsi"/>
                <w:b/>
              </w:rPr>
              <w:t xml:space="preserve"> outstanding</w:t>
            </w:r>
          </w:p>
        </w:tc>
        <w:tc>
          <w:tcPr>
            <w:tcW w:w="2480" w:type="dxa"/>
          </w:tcPr>
          <w:p w:rsidR="00CC698E" w:rsidRPr="00D56230" w:rsidP="00CC698E">
            <w:pPr>
              <w:jc w:val="center"/>
              <w:rPr>
                <w:rFonts w:cstheme="minorHAnsi"/>
                <w:b/>
              </w:rPr>
            </w:pPr>
            <w:r>
              <w:rPr>
                <w:rFonts w:cstheme="minorHAnsi"/>
                <w:b/>
              </w:rPr>
              <w:t>21,522</w:t>
            </w:r>
          </w:p>
        </w:tc>
        <w:tc>
          <w:tcPr>
            <w:tcW w:w="2481" w:type="dxa"/>
          </w:tcPr>
          <w:p w:rsidR="00CC698E" w:rsidRPr="00D56230" w:rsidP="00CC698E">
            <w:pPr>
              <w:jc w:val="center"/>
              <w:rPr>
                <w:rFonts w:cstheme="minorHAnsi"/>
                <w:b/>
              </w:rPr>
            </w:pPr>
            <w:r>
              <w:rPr>
                <w:rFonts w:cstheme="minorHAnsi"/>
                <w:b/>
              </w:rPr>
              <w:t>2,030</w:t>
            </w:r>
          </w:p>
        </w:tc>
      </w:tr>
      <w:tr w:rsidTr="00217542">
        <w:tblPrEx>
          <w:tblW w:w="9634" w:type="dxa"/>
          <w:tblLook w:val="04A0"/>
        </w:tblPrEx>
        <w:tc>
          <w:tcPr>
            <w:tcW w:w="4673" w:type="dxa"/>
          </w:tcPr>
          <w:p w:rsidR="00CC698E" w:rsidP="00CC698E">
            <w:pPr>
              <w:jc w:val="both"/>
              <w:rPr>
                <w:rFonts w:cstheme="minorHAnsi"/>
                <w:bCs/>
              </w:rPr>
            </w:pPr>
            <w:r>
              <w:rPr>
                <w:rFonts w:cstheme="minorHAnsi"/>
                <w:bCs/>
              </w:rPr>
              <w:t>Collection Rates</w:t>
            </w:r>
          </w:p>
        </w:tc>
        <w:tc>
          <w:tcPr>
            <w:tcW w:w="2480" w:type="dxa"/>
          </w:tcPr>
          <w:p w:rsidR="00CC698E" w:rsidP="00CC698E">
            <w:pPr>
              <w:jc w:val="center"/>
              <w:rPr>
                <w:rFonts w:cstheme="minorHAnsi"/>
                <w:bCs/>
              </w:rPr>
            </w:pPr>
            <w:r>
              <w:rPr>
                <w:rFonts w:cstheme="minorHAnsi"/>
                <w:bCs/>
              </w:rPr>
              <w:t>35.93%</w:t>
            </w:r>
          </w:p>
        </w:tc>
        <w:tc>
          <w:tcPr>
            <w:tcW w:w="2481" w:type="dxa"/>
          </w:tcPr>
          <w:p w:rsidR="00CC698E" w:rsidP="00CC698E">
            <w:pPr>
              <w:jc w:val="center"/>
              <w:rPr>
                <w:rFonts w:cstheme="minorHAnsi"/>
                <w:bCs/>
              </w:rPr>
            </w:pPr>
            <w:r>
              <w:rPr>
                <w:rFonts w:cstheme="minorHAnsi"/>
                <w:bCs/>
              </w:rPr>
              <w:t>95.02%</w:t>
            </w:r>
          </w:p>
        </w:tc>
      </w:tr>
      <w:tr w:rsidTr="00217542">
        <w:tblPrEx>
          <w:tblW w:w="9634" w:type="dxa"/>
          <w:tblLook w:val="04A0"/>
        </w:tblPrEx>
        <w:tc>
          <w:tcPr>
            <w:tcW w:w="4673" w:type="dxa"/>
            <w:shd w:val="clear" w:color="auto" w:fill="D9D9D9" w:themeFill="background1" w:themeFillShade="D9"/>
          </w:tcPr>
          <w:p w:rsidR="00CC698E" w:rsidRPr="00D56230" w:rsidP="00CC698E">
            <w:pPr>
              <w:jc w:val="both"/>
              <w:rPr>
                <w:rFonts w:cstheme="minorHAnsi"/>
                <w:b/>
              </w:rPr>
            </w:pPr>
            <w:r w:rsidRPr="00D56230">
              <w:rPr>
                <w:rFonts w:cstheme="minorHAnsi"/>
                <w:b/>
              </w:rPr>
              <w:t xml:space="preserve">Housing Benefit </w:t>
            </w:r>
          </w:p>
        </w:tc>
        <w:tc>
          <w:tcPr>
            <w:tcW w:w="2480" w:type="dxa"/>
            <w:shd w:val="clear" w:color="auto" w:fill="D9D9D9" w:themeFill="background1" w:themeFillShade="D9"/>
          </w:tcPr>
          <w:p w:rsidR="00CC698E" w:rsidRPr="00D56230" w:rsidP="00CC698E">
            <w:pPr>
              <w:jc w:val="center"/>
              <w:rPr>
                <w:rFonts w:cstheme="minorHAnsi"/>
                <w:b/>
              </w:rPr>
            </w:pPr>
          </w:p>
        </w:tc>
        <w:tc>
          <w:tcPr>
            <w:tcW w:w="2481" w:type="dxa"/>
            <w:shd w:val="clear" w:color="auto" w:fill="D9D9D9" w:themeFill="background1" w:themeFillShade="D9"/>
          </w:tcPr>
          <w:p w:rsidR="00CC698E" w:rsidRPr="00D56230" w:rsidP="00CC698E">
            <w:pPr>
              <w:jc w:val="center"/>
              <w:rPr>
                <w:rFonts w:cstheme="minorHAnsi"/>
                <w:b/>
              </w:rPr>
            </w:pPr>
          </w:p>
        </w:tc>
      </w:tr>
      <w:tr w:rsidTr="00217542">
        <w:tblPrEx>
          <w:tblW w:w="9634" w:type="dxa"/>
          <w:tblLook w:val="04A0"/>
        </w:tblPrEx>
        <w:tc>
          <w:tcPr>
            <w:tcW w:w="4673" w:type="dxa"/>
          </w:tcPr>
          <w:p w:rsidR="00CC698E" w:rsidP="00CC698E">
            <w:pPr>
              <w:jc w:val="both"/>
              <w:rPr>
                <w:rFonts w:cstheme="minorHAnsi"/>
                <w:bCs/>
              </w:rPr>
            </w:pPr>
            <w:r>
              <w:rPr>
                <w:rFonts w:cstheme="minorHAnsi"/>
                <w:bCs/>
              </w:rPr>
              <w:t>Overpayment balances outstanding</w:t>
            </w:r>
          </w:p>
        </w:tc>
        <w:tc>
          <w:tcPr>
            <w:tcW w:w="2480" w:type="dxa"/>
          </w:tcPr>
          <w:p w:rsidR="00CC698E" w:rsidP="00CC698E">
            <w:pPr>
              <w:jc w:val="center"/>
              <w:rPr>
                <w:rFonts w:cstheme="minorHAnsi"/>
                <w:bCs/>
              </w:rPr>
            </w:pPr>
            <w:r>
              <w:rPr>
                <w:rFonts w:cstheme="minorHAnsi"/>
                <w:bCs/>
              </w:rPr>
              <w:t>918</w:t>
            </w:r>
          </w:p>
        </w:tc>
        <w:tc>
          <w:tcPr>
            <w:tcW w:w="2481" w:type="dxa"/>
          </w:tcPr>
          <w:p w:rsidR="00CC698E" w:rsidP="00CC698E">
            <w:pPr>
              <w:jc w:val="center"/>
              <w:rPr>
                <w:rFonts w:cstheme="minorHAnsi"/>
                <w:bCs/>
              </w:rPr>
            </w:pPr>
            <w:r>
              <w:rPr>
                <w:rFonts w:cstheme="minorHAnsi"/>
                <w:bCs/>
              </w:rPr>
              <w:t>976</w:t>
            </w:r>
          </w:p>
        </w:tc>
      </w:tr>
      <w:tr w:rsidTr="00217542">
        <w:tblPrEx>
          <w:tblW w:w="9634" w:type="dxa"/>
          <w:tblLook w:val="04A0"/>
        </w:tblPrEx>
        <w:tc>
          <w:tcPr>
            <w:tcW w:w="4673" w:type="dxa"/>
            <w:shd w:val="clear" w:color="auto" w:fill="D9D9D9" w:themeFill="background1" w:themeFillShade="D9"/>
          </w:tcPr>
          <w:p w:rsidR="00CC698E" w:rsidRPr="00D56230" w:rsidP="00CC698E">
            <w:pPr>
              <w:jc w:val="both"/>
              <w:rPr>
                <w:rFonts w:cstheme="minorHAnsi"/>
                <w:b/>
              </w:rPr>
            </w:pPr>
            <w:r w:rsidRPr="00D56230">
              <w:rPr>
                <w:rFonts w:cstheme="minorHAnsi"/>
                <w:b/>
              </w:rPr>
              <w:t>Sundry Debtors</w:t>
            </w:r>
          </w:p>
        </w:tc>
        <w:tc>
          <w:tcPr>
            <w:tcW w:w="2480" w:type="dxa"/>
            <w:shd w:val="clear" w:color="auto" w:fill="D9D9D9" w:themeFill="background1" w:themeFillShade="D9"/>
          </w:tcPr>
          <w:p w:rsidR="00CC698E" w:rsidRPr="00D56230" w:rsidP="00CC698E">
            <w:pPr>
              <w:jc w:val="center"/>
              <w:rPr>
                <w:rFonts w:cstheme="minorHAnsi"/>
                <w:b/>
              </w:rPr>
            </w:pPr>
          </w:p>
        </w:tc>
        <w:tc>
          <w:tcPr>
            <w:tcW w:w="2481" w:type="dxa"/>
            <w:shd w:val="clear" w:color="auto" w:fill="D9D9D9" w:themeFill="background1" w:themeFillShade="D9"/>
          </w:tcPr>
          <w:p w:rsidR="00CC698E" w:rsidRPr="00D56230" w:rsidP="00CC698E">
            <w:pPr>
              <w:jc w:val="center"/>
              <w:rPr>
                <w:rFonts w:cstheme="minorHAnsi"/>
                <w:b/>
              </w:rPr>
            </w:pPr>
          </w:p>
        </w:tc>
      </w:tr>
      <w:tr w:rsidTr="00217542">
        <w:tblPrEx>
          <w:tblW w:w="9634" w:type="dxa"/>
          <w:tblLook w:val="04A0"/>
        </w:tblPrEx>
        <w:tc>
          <w:tcPr>
            <w:tcW w:w="4673" w:type="dxa"/>
          </w:tcPr>
          <w:p w:rsidR="00CC698E" w:rsidRPr="00EB17F7" w:rsidP="00CC698E">
            <w:pPr>
              <w:jc w:val="both"/>
              <w:rPr>
                <w:rFonts w:cstheme="minorHAnsi"/>
                <w:bCs/>
              </w:rPr>
            </w:pPr>
            <w:r>
              <w:rPr>
                <w:rFonts w:cstheme="minorHAnsi"/>
                <w:bCs/>
              </w:rPr>
              <w:t>Balance outstanding</w:t>
            </w:r>
          </w:p>
        </w:tc>
        <w:tc>
          <w:tcPr>
            <w:tcW w:w="2480" w:type="dxa"/>
          </w:tcPr>
          <w:p w:rsidR="00CC698E" w:rsidRPr="00EB17F7" w:rsidP="00CC698E">
            <w:pPr>
              <w:jc w:val="center"/>
              <w:rPr>
                <w:rFonts w:cstheme="minorHAnsi"/>
                <w:bCs/>
              </w:rPr>
            </w:pPr>
            <w:r>
              <w:rPr>
                <w:rFonts w:cstheme="minorHAnsi"/>
                <w:bCs/>
              </w:rPr>
              <w:t>1,360</w:t>
            </w:r>
          </w:p>
        </w:tc>
        <w:tc>
          <w:tcPr>
            <w:tcW w:w="2481" w:type="dxa"/>
          </w:tcPr>
          <w:p w:rsidR="00CC698E" w:rsidP="00CC698E">
            <w:pPr>
              <w:jc w:val="center"/>
              <w:rPr>
                <w:rFonts w:cstheme="minorHAnsi"/>
                <w:bCs/>
              </w:rPr>
            </w:pPr>
            <w:r>
              <w:rPr>
                <w:rFonts w:cstheme="minorHAnsi"/>
                <w:bCs/>
              </w:rPr>
              <w:t>604</w:t>
            </w:r>
          </w:p>
        </w:tc>
      </w:tr>
    </w:tbl>
    <w:p w:rsidR="00EB17F7" w:rsidRPr="00CC698E" w:rsidP="00CC698E">
      <w:pPr>
        <w:tabs>
          <w:tab w:val="left" w:pos="567"/>
        </w:tabs>
        <w:spacing w:after="0" w:line="240" w:lineRule="auto"/>
        <w:ind w:right="-284"/>
        <w:rPr>
          <w:rFonts w:ascii="Arial" w:eastAsia="Times New Roman" w:hAnsi="Arial" w:cs="Arial"/>
          <w:lang w:eastAsia="en-GB"/>
        </w:rPr>
      </w:pPr>
    </w:p>
    <w:p w:rsidR="00EB17F7" w:rsidRPr="008547B3" w:rsidP="00CC698E">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F52FAB">
        <w:t xml:space="preserve">Business Rates collection can fluctuate month on month but collection is currently broadly in line with expectations.  </w:t>
      </w:r>
      <w:r>
        <w:t xml:space="preserve">Expected Business Rates for 2021/22 are much higher compared to those for last year </w:t>
      </w:r>
      <w:r w:rsidRPr="00F52FAB">
        <w:t xml:space="preserve">due to </w:t>
      </w:r>
      <w:r>
        <w:t xml:space="preserve">the </w:t>
      </w:r>
      <w:r w:rsidRPr="00F52FAB">
        <w:t xml:space="preserve">Covid reliefs that were applied in 2020/21 </w:t>
      </w:r>
      <w:r>
        <w:t xml:space="preserve">which are </w:t>
      </w:r>
      <w:r w:rsidRPr="00F52FAB">
        <w:t>no longer applicable in 2021/22.</w:t>
      </w:r>
    </w:p>
    <w:p w:rsidR="008547B3" w:rsidRPr="008547B3" w:rsidP="008547B3">
      <w:pPr>
        <w:pStyle w:val="ListParagraph"/>
        <w:tabs>
          <w:tab w:val="left" w:pos="567"/>
        </w:tabs>
        <w:spacing w:after="0" w:line="240" w:lineRule="auto"/>
        <w:ind w:left="567" w:right="-284"/>
        <w:rPr>
          <w:rFonts w:ascii="Arial" w:eastAsia="Times New Roman" w:hAnsi="Arial" w:cs="Arial"/>
          <w:lang w:eastAsia="en-GB"/>
        </w:rPr>
      </w:pPr>
    </w:p>
    <w:p w:rsidR="008547B3" w:rsidRPr="000F3725" w:rsidP="00CC698E">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Pr>
          <w:rFonts w:ascii="Arial" w:eastAsia="Times New Roman" w:hAnsi="Arial" w:cs="Arial"/>
          <w:lang w:eastAsia="en-GB"/>
        </w:rPr>
        <w:t>For debts relating to Housing Benefit and Sundry Debtors, in line with accounting standards and practice, the Council holds a provision for bad debt.</w:t>
      </w:r>
    </w:p>
    <w:p w:rsidR="000F3725" w:rsidRPr="000F3725" w:rsidP="000F3725">
      <w:pPr>
        <w:pStyle w:val="ListParagraph"/>
        <w:tabs>
          <w:tab w:val="left" w:pos="567"/>
        </w:tabs>
        <w:spacing w:after="0" w:line="240" w:lineRule="auto"/>
        <w:ind w:left="567" w:right="-284"/>
        <w:rPr>
          <w:rFonts w:ascii="Arial" w:eastAsia="Times New Roman" w:hAnsi="Arial" w:cs="Arial"/>
          <w:lang w:eastAsia="en-GB"/>
        </w:rPr>
      </w:pPr>
    </w:p>
    <w:p w:rsidR="000F3725" w:rsidRPr="000F3725" w:rsidP="000F3725">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Pr>
          <w:rFonts w:ascii="Arial" w:eastAsia="Times New Roman" w:hAnsi="Arial" w:cs="Arial"/>
          <w:lang w:eastAsia="en-GB"/>
        </w:rPr>
        <w:t>In respect of the figures above, the Council’s share represents 11.7</w:t>
      </w:r>
      <w:r w:rsidRPr="000F3725">
        <w:rPr>
          <w:rFonts w:ascii="Arial" w:eastAsia="Times New Roman" w:hAnsi="Arial" w:cs="Arial"/>
          <w:lang w:eastAsia="en-GB"/>
        </w:rPr>
        <w:t xml:space="preserve">% of Council tax Income and </w:t>
      </w:r>
      <w:r>
        <w:rPr>
          <w:rFonts w:ascii="Arial" w:eastAsia="Times New Roman" w:hAnsi="Arial" w:cs="Arial"/>
          <w:lang w:eastAsia="en-GB"/>
        </w:rPr>
        <w:t>17.8</w:t>
      </w:r>
      <w:r w:rsidRPr="000F3725">
        <w:rPr>
          <w:rFonts w:ascii="Arial" w:eastAsia="Times New Roman" w:hAnsi="Arial" w:cs="Arial"/>
          <w:lang w:eastAsia="en-GB"/>
        </w:rPr>
        <w:t>% of Business Rates Income.</w:t>
      </w:r>
    </w:p>
    <w:p w:rsidR="007148BC" w:rsidP="00E24AE3">
      <w:pPr>
        <w:spacing w:after="0" w:line="240" w:lineRule="auto"/>
        <w:jc w:val="both"/>
        <w:rPr>
          <w:rFonts w:cstheme="minorHAnsi"/>
          <w:bCs/>
          <w:iCs/>
        </w:rPr>
      </w:pPr>
    </w:p>
    <w:p w:rsidR="00E24AE3" w:rsidP="00E24AE3">
      <w:pPr>
        <w:spacing w:after="0" w:line="240" w:lineRule="auto"/>
        <w:jc w:val="both"/>
        <w:rPr>
          <w:rFonts w:cstheme="minorHAnsi"/>
          <w:bCs/>
          <w:iCs/>
        </w:rPr>
      </w:pPr>
    </w:p>
    <w:p w:rsidR="00284E95" w:rsidP="001668A0">
      <w:pPr>
        <w:pStyle w:val="Heading2"/>
      </w:pPr>
      <w:r>
        <w:t>Climate change and air quality</w:t>
      </w:r>
    </w:p>
    <w:p w:rsidR="004758E2" w:rsidRPr="00E06F2E" w:rsidP="004758E2">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E06F2E">
        <w:t>The work noted in this report does not impact the climate change and sustainability targets of the Councils Green Agenda and all environmental considerations are in place.</w:t>
      </w:r>
    </w:p>
    <w:p w:rsidR="00284E95" w:rsidRPr="004758E2" w:rsidP="004758E2">
      <w:pPr>
        <w:tabs>
          <w:tab w:val="left" w:pos="567"/>
        </w:tabs>
        <w:spacing w:line="240" w:lineRule="auto"/>
        <w:ind w:right="-284"/>
        <w:rPr>
          <w:rFonts w:ascii="Arial" w:eastAsia="Times New Roman" w:hAnsi="Arial" w:cs="Arial"/>
          <w:lang w:eastAsia="en-GB"/>
        </w:rPr>
      </w:pPr>
    </w:p>
    <w:p w:rsidR="000179AF" w:rsidRPr="00ED4FF1" w:rsidP="001668A0">
      <w:pPr>
        <w:pStyle w:val="Heading2"/>
      </w:pPr>
      <w:r w:rsidRPr="00ED4FF1">
        <w:t>Equality and diversity</w:t>
      </w:r>
    </w:p>
    <w:p w:rsidR="000179AF" w:rsidP="00CF42B2">
      <w:pPr>
        <w:numPr>
          <w:ilvl w:val="0"/>
          <w:numId w:val="8"/>
        </w:numPr>
        <w:spacing w:after="0" w:line="240" w:lineRule="auto"/>
        <w:jc w:val="both"/>
        <w:rPr>
          <w:rFonts w:cstheme="minorHAnsi"/>
          <w:bCs/>
          <w:iCs/>
        </w:rPr>
      </w:pPr>
      <w:r>
        <w:rPr>
          <w:rFonts w:cstheme="minorHAnsi"/>
          <w:bCs/>
          <w:iCs/>
        </w:rPr>
        <w:t>None</w:t>
      </w:r>
    </w:p>
    <w:p w:rsidR="003042F6" w:rsidP="003042F6">
      <w:pPr>
        <w:spacing w:after="0" w:line="240" w:lineRule="auto"/>
        <w:ind w:left="360"/>
        <w:jc w:val="both"/>
        <w:rPr>
          <w:rFonts w:cstheme="minorHAnsi"/>
          <w:bCs/>
          <w:iCs/>
        </w:rPr>
      </w:pPr>
    </w:p>
    <w:p w:rsidR="004758E2" w:rsidP="001668A0">
      <w:pPr>
        <w:pStyle w:val="Heading2"/>
      </w:pPr>
      <w:r>
        <w:t>Risk</w:t>
      </w:r>
    </w:p>
    <w:p w:rsidR="000179AF" w:rsidRPr="00D30E15" w:rsidP="001668A0">
      <w:pPr>
        <w:pStyle w:val="Heading2"/>
        <w:numPr>
          <w:ilvl w:val="0"/>
          <w:numId w:val="8"/>
        </w:numPr>
        <w:rPr>
          <w:b w:val="0"/>
        </w:rPr>
      </w:pPr>
      <w:r w:rsidRPr="00D30E15">
        <w:rPr>
          <w:b w:val="0"/>
        </w:rPr>
        <w:t>Any risks are addressed in the body of the report.</w:t>
      </w:r>
    </w:p>
    <w:p w:rsidR="000179AF" w:rsidRPr="00ED4FF1" w:rsidP="001668A0">
      <w:pPr>
        <w:pStyle w:val="Heading2"/>
      </w:pPr>
      <w:r w:rsidRPr="00ED4FF1">
        <w:t>Comments of the Statutory Finance Officer</w:t>
      </w:r>
    </w:p>
    <w:p w:rsidR="000179AF" w:rsidRPr="00883AC9" w:rsidP="00CF42B2">
      <w:pPr>
        <w:numPr>
          <w:ilvl w:val="0"/>
          <w:numId w:val="8"/>
        </w:numPr>
        <w:spacing w:after="0" w:line="240" w:lineRule="auto"/>
        <w:jc w:val="both"/>
        <w:rPr>
          <w:rFonts w:cstheme="minorHAnsi"/>
          <w:bCs/>
          <w:iCs/>
        </w:rPr>
      </w:pPr>
      <w:r w:rsidRPr="003042F6">
        <w:rPr>
          <w:rFonts w:cstheme="minorHAnsi"/>
          <w:bCs/>
          <w:iCs/>
        </w:rPr>
        <w:t>The financial implications are contained within this</w:t>
      </w:r>
      <w:r>
        <w:rPr>
          <w:rFonts w:cstheme="minorHAnsi"/>
          <w:bCs/>
          <w:iCs/>
        </w:rPr>
        <w:t xml:space="preserve"> report.</w:t>
      </w:r>
    </w:p>
    <w:p w:rsidR="000179AF" w:rsidRPr="00D4431F" w:rsidP="00E42F6B">
      <w:pPr>
        <w:spacing w:after="0" w:line="240" w:lineRule="auto"/>
        <w:jc w:val="both"/>
        <w:rPr>
          <w:rFonts w:cstheme="minorHAnsi"/>
          <w:bCs/>
        </w:rPr>
      </w:pPr>
    </w:p>
    <w:p w:rsidR="000179AF" w:rsidRPr="00ED4FF1" w:rsidP="001668A0">
      <w:pPr>
        <w:pStyle w:val="Heading2"/>
      </w:pPr>
      <w:r w:rsidRPr="00ED4FF1">
        <w:t>Comments of the Monitoring Officer</w:t>
      </w:r>
    </w:p>
    <w:p w:rsidR="000179AF" w:rsidRPr="00883AC9" w:rsidP="00CF42B2">
      <w:pPr>
        <w:numPr>
          <w:ilvl w:val="0"/>
          <w:numId w:val="8"/>
        </w:numPr>
        <w:spacing w:after="0" w:line="240" w:lineRule="auto"/>
        <w:jc w:val="both"/>
        <w:rPr>
          <w:rFonts w:cstheme="minorHAnsi"/>
          <w:bCs/>
          <w:iCs/>
        </w:rPr>
      </w:pPr>
      <w:r w:rsidRPr="007148BC">
        <w:rPr>
          <w:rFonts w:cstheme="minorHAnsi"/>
          <w:bCs/>
          <w:iCs/>
        </w:rPr>
        <w:t>There are no concerns with this report from a Monitoring Officer perspective.</w:t>
      </w:r>
    </w:p>
    <w:p w:rsidR="000179AF" w:rsidRPr="00D1305C" w:rsidP="003042F6">
      <w:pPr>
        <w:spacing w:after="0" w:line="240" w:lineRule="auto"/>
        <w:jc w:val="both"/>
        <w:rPr>
          <w:rFonts w:cstheme="minorHAnsi"/>
          <w:bCs/>
        </w:rPr>
      </w:pPr>
    </w:p>
    <w:p w:rsidR="000179AF" w:rsidRPr="00D1305C" w:rsidP="000179AF">
      <w:pPr>
        <w:rPr>
          <w:rFonts w:eastAsia="Times New Roman" w:cstheme="minorHAnsi"/>
          <w:bCs/>
          <w:color w:val="000000" w:themeColor="text1"/>
          <w:kern w:val="36"/>
          <w:lang w:eastAsia="en-GB"/>
        </w:rPr>
      </w:pPr>
      <w:r w:rsidRPr="00ED4FF1">
        <w:rPr>
          <w:rStyle w:val="Heading2Char"/>
          <w:rFonts w:eastAsiaTheme="minorHAnsi"/>
        </w:rPr>
        <w:t>Background documents</w:t>
      </w:r>
    </w:p>
    <w:p w:rsidR="003042F6" w:rsidP="003042F6">
      <w:pPr>
        <w:numPr>
          <w:ilvl w:val="0"/>
          <w:numId w:val="8"/>
        </w:numPr>
        <w:spacing w:after="0" w:line="240" w:lineRule="auto"/>
        <w:jc w:val="both"/>
        <w:rPr>
          <w:rFonts w:cstheme="minorHAnsi"/>
          <w:bCs/>
          <w:iCs/>
        </w:rPr>
      </w:pPr>
      <w:r w:rsidRPr="007148BC">
        <w:rPr>
          <w:rFonts w:eastAsia="Times New Roman" w:cstheme="minorHAnsi"/>
          <w:bCs/>
          <w:color w:val="000000" w:themeColor="text1"/>
          <w:kern w:val="36"/>
          <w:lang w:eastAsia="en-GB"/>
        </w:rPr>
        <w:t xml:space="preserve">The information contained within the report is in line with the Capital Strategy and the Three Year Budget Forecast within the Medium Term Financial Strategy 2021-24, as approved by Council </w:t>
      </w:r>
      <w:r>
        <w:rPr>
          <w:rFonts w:eastAsia="Times New Roman" w:cstheme="minorHAnsi"/>
          <w:bCs/>
          <w:color w:val="000000" w:themeColor="text1"/>
          <w:kern w:val="36"/>
          <w:lang w:eastAsia="en-GB"/>
        </w:rPr>
        <w:t>i</w:t>
      </w:r>
      <w:r w:rsidRPr="007148BC">
        <w:rPr>
          <w:rFonts w:eastAsia="Times New Roman" w:cstheme="minorHAnsi"/>
          <w:bCs/>
          <w:color w:val="000000" w:themeColor="text1"/>
          <w:kern w:val="36"/>
          <w:lang w:eastAsia="en-GB"/>
        </w:rPr>
        <w:t>n February 2021.</w:t>
      </w:r>
    </w:p>
    <w:p w:rsidR="003042F6" w:rsidRPr="00883AC9" w:rsidP="003042F6">
      <w:pPr>
        <w:spacing w:after="0" w:line="240" w:lineRule="auto"/>
        <w:jc w:val="both"/>
        <w:rPr>
          <w:rFonts w:cstheme="minorHAnsi"/>
          <w:bCs/>
          <w:iCs/>
        </w:rPr>
      </w:pPr>
    </w:p>
    <w:p w:rsidR="000179AF" w:rsidRPr="00ED4FF1" w:rsidP="001668A0">
      <w:pPr>
        <w:pStyle w:val="Heading2"/>
      </w:pPr>
      <w:r w:rsidRPr="00ED4FF1">
        <w:t xml:space="preserve">Appendices </w:t>
      </w:r>
    </w:p>
    <w:p w:rsidR="000179AF" w:rsidRPr="00883AC9" w:rsidP="000179AF">
      <w:pPr>
        <w:spacing w:after="0"/>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Appendix A</w:t>
      </w:r>
      <w:r>
        <w:rPr>
          <w:rFonts w:eastAsia="Times New Roman" w:cstheme="minorHAnsi"/>
          <w:bCs/>
          <w:iCs/>
          <w:color w:val="000000" w:themeColor="text1"/>
          <w:kern w:val="36"/>
          <w:lang w:eastAsia="en-GB"/>
        </w:rPr>
        <w:t xml:space="preserve"> – </w:t>
      </w:r>
      <w:r>
        <w:rPr>
          <w:rFonts w:cstheme="minorHAnsi"/>
          <w:bCs/>
        </w:rPr>
        <w:t>2021/22 Capital Programme</w:t>
      </w:r>
    </w:p>
    <w:p w:rsidR="000179AF" w:rsidRPr="00883AC9" w:rsidP="000179AF">
      <w:pPr>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 xml:space="preserve">Appendix B </w:t>
      </w:r>
      <w:r>
        <w:rPr>
          <w:rFonts w:eastAsia="Times New Roman" w:cstheme="minorHAnsi"/>
          <w:bCs/>
          <w:iCs/>
          <w:color w:val="000000" w:themeColor="text1"/>
          <w:kern w:val="36"/>
          <w:lang w:eastAsia="en-GB"/>
        </w:rPr>
        <w:t xml:space="preserve">– </w:t>
      </w:r>
      <w:r>
        <w:rPr>
          <w:rFonts w:cstheme="minorHAnsi"/>
          <w:bCs/>
        </w:rPr>
        <w:t>2021/22 Capital Programme Scheme Variations</w:t>
      </w:r>
    </w:p>
    <w:p w:rsidR="00D4431F" w:rsidRPr="00D4431F" w:rsidP="00D4431F">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0"/>
        <w:gridCol w:w="3631"/>
        <w:gridCol w:w="1384"/>
        <w:gridCol w:w="1083"/>
      </w:tblGrid>
      <w:tr w:rsidTr="003042F6">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10" w:type="dxa"/>
            <w:shd w:val="clear" w:color="auto" w:fill="auto"/>
          </w:tcPr>
          <w:p w:rsidR="00D4431F" w:rsidRPr="00D4431F" w:rsidP="00D4431F">
            <w:pPr>
              <w:spacing w:line="240" w:lineRule="auto"/>
              <w:jc w:val="both"/>
              <w:rPr>
                <w:rFonts w:cstheme="minorHAnsi"/>
                <w:bCs/>
              </w:rPr>
            </w:pPr>
            <w:r w:rsidRPr="00D4431F">
              <w:rPr>
                <w:rFonts w:cstheme="minorHAnsi"/>
                <w:bCs/>
              </w:rPr>
              <w:t>Report Author:</w:t>
            </w:r>
          </w:p>
        </w:tc>
        <w:tc>
          <w:tcPr>
            <w:tcW w:w="3631" w:type="dxa"/>
          </w:tcPr>
          <w:p w:rsidR="00D4431F" w:rsidRPr="00D4431F" w:rsidP="00D4431F">
            <w:pPr>
              <w:spacing w:line="240" w:lineRule="auto"/>
              <w:jc w:val="both"/>
              <w:rPr>
                <w:rFonts w:cstheme="minorHAnsi"/>
                <w:bCs/>
              </w:rPr>
            </w:pPr>
            <w:r w:rsidRPr="00D4431F">
              <w:rPr>
                <w:rFonts w:cstheme="minorHAnsi"/>
                <w:bCs/>
              </w:rPr>
              <w:t>Email:</w:t>
            </w:r>
          </w:p>
        </w:tc>
        <w:tc>
          <w:tcPr>
            <w:tcW w:w="1384" w:type="dxa"/>
            <w:shd w:val="clear" w:color="auto" w:fill="auto"/>
          </w:tcPr>
          <w:p w:rsidR="00D4431F" w:rsidRPr="00D4431F" w:rsidP="00D4431F">
            <w:pPr>
              <w:spacing w:line="240" w:lineRule="auto"/>
              <w:jc w:val="both"/>
              <w:rPr>
                <w:rFonts w:cstheme="minorHAnsi"/>
                <w:bCs/>
              </w:rPr>
            </w:pPr>
            <w:r w:rsidRPr="00D4431F">
              <w:rPr>
                <w:rFonts w:cstheme="minorHAnsi"/>
                <w:bCs/>
              </w:rPr>
              <w:t>Telephone:</w:t>
            </w:r>
          </w:p>
        </w:tc>
        <w:tc>
          <w:tcPr>
            <w:tcW w:w="1083" w:type="dxa"/>
            <w:shd w:val="clear" w:color="auto" w:fill="auto"/>
          </w:tcPr>
          <w:p w:rsidR="00D4431F" w:rsidRPr="00D4431F" w:rsidP="00D4431F">
            <w:pPr>
              <w:spacing w:line="240" w:lineRule="auto"/>
              <w:jc w:val="both"/>
              <w:rPr>
                <w:rFonts w:cstheme="minorHAnsi"/>
                <w:bCs/>
              </w:rPr>
            </w:pPr>
            <w:r w:rsidRPr="00D4431F">
              <w:rPr>
                <w:rFonts w:cstheme="minorHAnsi"/>
                <w:bCs/>
              </w:rPr>
              <w:t>Date:</w:t>
            </w:r>
          </w:p>
        </w:tc>
      </w:tr>
      <w:tr w:rsidTr="003042F6">
        <w:tblPrEx>
          <w:tblW w:w="0" w:type="auto"/>
          <w:tblInd w:w="108" w:type="dxa"/>
          <w:tblLook w:val="04A0"/>
        </w:tblPrEx>
        <w:tc>
          <w:tcPr>
            <w:tcW w:w="2810" w:type="dxa"/>
            <w:shd w:val="clear" w:color="auto" w:fill="auto"/>
          </w:tcPr>
          <w:p w:rsidR="00D4431F" w:rsidRPr="00D4431F" w:rsidP="003042F6">
            <w:pPr>
              <w:spacing w:line="240" w:lineRule="auto"/>
              <w:rPr>
                <w:rFonts w:cstheme="minorHAnsi"/>
                <w:bCs/>
              </w:rPr>
            </w:pPr>
            <w:r>
              <w:rPr>
                <w:rFonts w:cstheme="minorHAnsi"/>
                <w:bCs/>
              </w:rPr>
              <w:t>Neil Halton (Principal Management Accountant), James McNulty (Senior Management Accountant)</w:t>
            </w:r>
          </w:p>
        </w:tc>
        <w:tc>
          <w:tcPr>
            <w:tcW w:w="3631" w:type="dxa"/>
          </w:tcPr>
          <w:p w:rsidR="00D4431F" w:rsidRPr="00D4431F"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neil.halton@southribble.gov.uk, james.mcnulty@southribble.gov.uk</w:t>
            </w:r>
            <w:r>
              <w:rPr>
                <w:rFonts w:cstheme="minorHAnsi"/>
                <w:bCs/>
              </w:rPr>
              <w:fldChar w:fldCharType="end"/>
            </w:r>
          </w:p>
        </w:tc>
        <w:tc>
          <w:tcPr>
            <w:tcW w:w="1384" w:type="dxa"/>
            <w:shd w:val="clear" w:color="auto" w:fill="auto"/>
          </w:tcPr>
          <w:p w:rsidR="00D4431F" w:rsidRPr="00D4431F" w:rsidP="00D4431F">
            <w:pPr>
              <w:spacing w:line="240" w:lineRule="auto"/>
              <w:jc w:val="both"/>
              <w:rPr>
                <w:rFonts w:cstheme="minorHAnsi"/>
                <w:bCs/>
              </w:rPr>
            </w:pPr>
            <w:r w:rsidRPr="00D4431F">
              <w:rPr>
                <w:rFonts w:cstheme="minorHAnsi"/>
                <w:bCs/>
              </w:rPr>
              <w:t>01772 62</w:t>
            </w:r>
            <w:r>
              <w:rPr>
                <w:rFonts w:cstheme="minorHAnsi"/>
                <w:bCs/>
              </w:rPr>
              <w:t>5625</w:t>
            </w:r>
          </w:p>
        </w:tc>
        <w:tc>
          <w:tcPr>
            <w:tcW w:w="1083" w:type="dxa"/>
            <w:shd w:val="clear" w:color="auto" w:fill="auto"/>
          </w:tcPr>
          <w:p w:rsidR="00D4431F" w:rsidRPr="00D4431F" w:rsidP="00D4431F">
            <w:pPr>
              <w:spacing w:line="240" w:lineRule="auto"/>
              <w:jc w:val="both"/>
              <w:rPr>
                <w:rFonts w:cstheme="minorHAnsi"/>
                <w:bCs/>
              </w:rPr>
            </w:pPr>
            <w:r>
              <w:rPr>
                <w:rFonts w:cstheme="minorHAnsi"/>
                <w:bCs/>
              </w:rPr>
              <w:t>20/08/21</w:t>
            </w:r>
          </w:p>
        </w:tc>
      </w:tr>
    </w:tbl>
    <w:p w:rsidR="0025620C" w:rsidRPr="005C459D">
      <w:pPr>
        <w:rPr>
          <w:rFonts w:cstheme="minorHAnsi"/>
          <w:bCs/>
          <w:color w:val="000000" w:themeColor="text1"/>
          <w:lang w:val="en-US"/>
        </w:rPr>
      </w:pPr>
    </w:p>
    <w:sectPr w:rsidSect="00D4431F">
      <w:head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2B2">
    <w:pPr>
      <w:pStyle w:val="Header"/>
    </w:pPr>
  </w:p>
  <w:p w:rsidR="00CF42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D682B4B"/>
    <w:multiLevelType w:val="hybridMultilevel"/>
    <w:tmpl w:val="27D0AF2A"/>
    <w:lvl w:ilvl="0">
      <w:start w:val="1"/>
      <w:numFmt w:val="bullet"/>
      <w:lvlText w:val=""/>
      <w:lvlJc w:val="left"/>
      <w:pPr>
        <w:ind w:left="990" w:hanging="360"/>
      </w:pPr>
      <w:rPr>
        <w:rFonts w:ascii="Symbol" w:hAnsi="Symbol"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1">
    <w:nsid w:val="3B0324D4"/>
    <w:multiLevelType w:val="hybridMultilevel"/>
    <w:tmpl w:val="0CE2B5E6"/>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441C3A39"/>
    <w:multiLevelType w:val="hybridMultilevel"/>
    <w:tmpl w:val="6266809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53EC42E2"/>
    <w:multiLevelType w:val="hybridMultilevel"/>
    <w:tmpl w:val="37ECB20A"/>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97811DD"/>
    <w:multiLevelType w:val="hybridMultilevel"/>
    <w:tmpl w:val="FA5C2D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C4D2CDE"/>
    <w:multiLevelType w:val="hybridMultilevel"/>
    <w:tmpl w:val="5B6827D0"/>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EBF00E5"/>
    <w:multiLevelType w:val="hybridMultilevel"/>
    <w:tmpl w:val="F4C482C4"/>
    <w:lvl w:ilvl="0">
      <w:start w:val="1"/>
      <w:numFmt w:val="decimal"/>
      <w:lvlText w:val="%1."/>
      <w:lvlJc w:val="left"/>
      <w:pPr>
        <w:ind w:left="360" w:hanging="360"/>
      </w:pPr>
      <w:rPr>
        <w:rFonts w:ascii="Arial" w:hAnsi="Arial" w:hint="default"/>
        <w:b w:val="0"/>
        <w:bCs w:val="0"/>
        <w:i w:val="0"/>
        <w:color w:val="auto"/>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687524EC"/>
    <w:multiLevelType w:val="hybridMultilevel"/>
    <w:tmpl w:val="C83AE318"/>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E981066"/>
    <w:multiLevelType w:val="hybridMultilevel"/>
    <w:tmpl w:val="29A03522"/>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A2B16DA"/>
    <w:multiLevelType w:val="hybridMultilevel"/>
    <w:tmpl w:val="043A7D9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C6872A1"/>
    <w:multiLevelType w:val="hybridMultilevel"/>
    <w:tmpl w:val="700E460A"/>
    <w:lvl w:ilvl="0">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7FEF54B2"/>
    <w:multiLevelType w:val="hybridMultilevel"/>
    <w:tmpl w:val="75B62AC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8"/>
  </w:num>
  <w:num w:numId="3">
    <w:abstractNumId w:val="5"/>
  </w:num>
  <w:num w:numId="4">
    <w:abstractNumId w:val="7"/>
  </w:num>
  <w:num w:numId="5">
    <w:abstractNumId w:val="3"/>
  </w:num>
  <w:num w:numId="6">
    <w:abstractNumId w:val="0"/>
  </w:num>
  <w:num w:numId="7">
    <w:abstractNumId w:val="1"/>
  </w:num>
  <w:num w:numId="8">
    <w:abstractNumId w:val="6"/>
  </w:num>
  <w:num w:numId="9">
    <w:abstractNumId w:val="11"/>
  </w:num>
  <w:num w:numId="10">
    <w:abstractNumId w:val="4"/>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668A0"/>
    <w:pPr>
      <w:spacing w:after="100" w:afterAutospacing="1" w:line="240" w:lineRule="auto"/>
      <w:outlineLvl w:val="1"/>
    </w:pPr>
    <w:rPr>
      <w:rFonts w:eastAsia="Times New Roman" w:asciiTheme="majorHAnsi" w:hAnsiTheme="majorHAnsi" w:cstheme="majorHAnsi"/>
      <w:b/>
      <w:bCs/>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668A0"/>
    <w:rPr>
      <w:rFonts w:eastAsia="Times New Roman" w:asciiTheme="majorHAnsi" w:hAnsiTheme="majorHAnsi" w:cstheme="majorHAnsi"/>
      <w:b/>
      <w:bCs/>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CommentReference">
    <w:name w:val="annotation reference"/>
    <w:uiPriority w:val="99"/>
    <w:rsid w:val="00837C0A"/>
    <w:rPr>
      <w:sz w:val="16"/>
      <w:szCs w:val="16"/>
    </w:rPr>
  </w:style>
  <w:style w:type="paragraph" w:styleId="CommentText">
    <w:name w:val="annotation text"/>
    <w:basedOn w:val="Normal"/>
    <w:link w:val="CommentTextChar"/>
    <w:uiPriority w:val="99"/>
    <w:rsid w:val="00837C0A"/>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837C0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B59B0"/>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B59B0"/>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9858D8A-CAF9-4B42-A543-7D9B02213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1929</Words>
  <Characters>10999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James McNulty</cp:lastModifiedBy>
  <cp:revision>5</cp:revision>
  <cp:lastPrinted>2014-03-21T13:56:00Z</cp:lastPrinted>
  <dcterms:created xsi:type="dcterms:W3CDTF">2021-08-31T15:11:00Z</dcterms:created>
  <dcterms:modified xsi:type="dcterms:W3CDTF">2021-09-03T10:02:00Z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Cabinet</vt:lpwstr>
  </property>
  <property fmtid="{D5CDD505-2E9C-101B-9397-08002B2CF9AE}" pid="3" name="IssueTitle">
    <vt:lpwstr>Revenue and Capital Budget Monitoring Report 1</vt:lpwstr>
  </property>
  <property fmtid="{D5CDD505-2E9C-101B-9397-08002B2CF9AE}" pid="4" name="LeadDirector">
    <vt:lpwstr>Director of Finance and Section 151 Officer</vt:lpwstr>
  </property>
  <property fmtid="{D5CDD505-2E9C-101B-9397-08002B2CF9AE}" pid="5" name="LeadMember">
    <vt:lpwstr>Cabinet Member (Finance, Property and Assets)</vt:lpwstr>
  </property>
  <property fmtid="{D5CDD505-2E9C-101B-9397-08002B2CF9AE}" pid="6" name="LeadOfficer">
    <vt:lpwstr>Neil Halton, James McNulty</vt:lpwstr>
  </property>
  <property fmtid="{D5CDD505-2E9C-101B-9397-08002B2CF9AE}" pid="7" name="LeadOfficerEmail">
    <vt:lpwstr>neil.halton@southribble.gov.uk, james.mcnulty@southribble.gov.uk</vt:lpwstr>
  </property>
  <property fmtid="{D5CDD505-2E9C-101B-9397-08002B2CF9AE}" pid="8" name="LeadOfficerPost">
    <vt:lpwstr>Senior Management Accountant, Senior Management Accountant</vt:lpwstr>
  </property>
  <property fmtid="{D5CDD505-2E9C-101B-9397-08002B2CF9AE}" pid="9" name="MeetingDate">
    <vt:lpwstr>Wednesday, 15 September 2021</vt:lpwstr>
  </property>
  <property fmtid="{D5CDD505-2E9C-101B-9397-08002B2CF9AE}" pid="10" name="MeetingDateLegal">
    <vt:lpwstr>MeetingDateLegal</vt:lpwstr>
  </property>
</Properties>
</file>